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5C" w:rsidRDefault="009C00F3">
      <w:pPr>
        <w:pStyle w:val="Heading1"/>
        <w:spacing w:before="182" w:line="360" w:lineRule="auto"/>
        <w:ind w:left="260" w:right="319"/>
        <w:jc w:val="center"/>
      </w:pPr>
      <w:r>
        <w:t>ANALISIS PERENCANAAN PERBAIKAN TANAH PADA PEMBANGUNAN JALAN TOL RUAS KUALA TANJUNG - INDERAPURA SEKSI 2 ZONA 1 (STA.0+600 – STA.1+000), SUMATERA</w:t>
      </w:r>
      <w:bookmarkStart w:id="0" w:name="_GoBack"/>
      <w:bookmarkEnd w:id="0"/>
      <w:r>
        <w:t xml:space="preserve"> UTARA DENGAN METODE KOMBINASI PREFABRICATED VERTICAL DRAIN (PVD), PREFABRICATED HORIZONTAL DRAIN (PHD),</w:t>
      </w:r>
    </w:p>
    <w:p w:rsidR="001B105C" w:rsidRDefault="009C00F3">
      <w:pPr>
        <w:spacing w:before="5"/>
        <w:ind w:left="259" w:right="319"/>
        <w:jc w:val="center"/>
        <w:rPr>
          <w:b/>
          <w:sz w:val="24"/>
        </w:rPr>
      </w:pPr>
      <w:r>
        <w:rPr>
          <w:b/>
          <w:sz w:val="24"/>
        </w:rPr>
        <w:t>DAN PRELOADING</w:t>
      </w:r>
    </w:p>
    <w:p w:rsidR="001B105C" w:rsidRDefault="001B105C">
      <w:pPr>
        <w:pStyle w:val="BodyText"/>
        <w:rPr>
          <w:b/>
          <w:sz w:val="26"/>
        </w:rPr>
      </w:pPr>
    </w:p>
    <w:p w:rsidR="001B105C" w:rsidRDefault="001B105C">
      <w:pPr>
        <w:pStyle w:val="BodyText"/>
        <w:spacing w:before="6"/>
        <w:rPr>
          <w:b/>
          <w:sz w:val="22"/>
        </w:rPr>
      </w:pPr>
    </w:p>
    <w:p w:rsidR="00CA0C85" w:rsidRDefault="00CA0C85" w:rsidP="00CA0C85">
      <w:pPr>
        <w:ind w:left="260" w:right="306"/>
        <w:jc w:val="center"/>
        <w:rPr>
          <w:b/>
          <w:sz w:val="20"/>
        </w:rPr>
      </w:pPr>
      <w:r>
        <w:rPr>
          <w:b/>
          <w:sz w:val="20"/>
          <w:szCs w:val="20"/>
        </w:rPr>
        <w:t>Muhammad Irwansyah</w:t>
      </w:r>
      <w:r>
        <w:rPr>
          <w:b/>
          <w:sz w:val="20"/>
          <w:szCs w:val="20"/>
          <w:vertAlign w:val="superscript"/>
        </w:rPr>
        <w:t>1</w:t>
      </w:r>
      <w:r>
        <w:rPr>
          <w:b/>
          <w:sz w:val="20"/>
          <w:szCs w:val="20"/>
        </w:rPr>
        <w:t>, Amir Hamzah</w:t>
      </w:r>
      <w:r>
        <w:rPr>
          <w:b/>
          <w:sz w:val="20"/>
          <w:szCs w:val="20"/>
          <w:vertAlign w:val="superscript"/>
        </w:rPr>
        <w:t>2</w:t>
      </w:r>
      <w:r>
        <w:rPr>
          <w:b/>
          <w:sz w:val="20"/>
          <w:szCs w:val="20"/>
        </w:rPr>
        <w:t xml:space="preserve">, </w:t>
      </w:r>
      <w:r>
        <w:rPr>
          <w:b/>
          <w:sz w:val="20"/>
        </w:rPr>
        <w:t>Richard Syatria Adjie</w:t>
      </w:r>
      <w:r>
        <w:rPr>
          <w:b/>
          <w:sz w:val="20"/>
          <w:vertAlign w:val="superscript"/>
        </w:rPr>
        <w:t>3</w:t>
      </w:r>
    </w:p>
    <w:p w:rsidR="00CA0C85" w:rsidRDefault="009C00F3" w:rsidP="00CA0C85">
      <w:pPr>
        <w:ind w:left="2013" w:right="1247"/>
        <w:jc w:val="center"/>
        <w:rPr>
          <w:sz w:val="20"/>
        </w:rPr>
      </w:pPr>
      <w:r>
        <w:rPr>
          <w:sz w:val="20"/>
          <w:vertAlign w:val="superscript"/>
        </w:rPr>
        <w:t>1,2</w:t>
      </w:r>
      <w:r w:rsidR="00CA0C85">
        <w:rPr>
          <w:sz w:val="20"/>
          <w:vertAlign w:val="superscript"/>
        </w:rPr>
        <w:t>,3</w:t>
      </w:r>
      <w:r>
        <w:rPr>
          <w:sz w:val="20"/>
        </w:rPr>
        <w:t>Prodi Teknik Sipil, Fakultas Teknik Universitas Asahan</w:t>
      </w:r>
    </w:p>
    <w:p w:rsidR="001B105C" w:rsidRDefault="009C00F3" w:rsidP="00CA0C85">
      <w:pPr>
        <w:ind w:left="2013" w:right="1247"/>
        <w:jc w:val="center"/>
        <w:rPr>
          <w:sz w:val="20"/>
        </w:rPr>
      </w:pPr>
      <w:r>
        <w:rPr>
          <w:sz w:val="20"/>
        </w:rPr>
        <w:t xml:space="preserve"> e-mail </w:t>
      </w:r>
      <w:r w:rsidRPr="00CA0C85">
        <w:rPr>
          <w:sz w:val="20"/>
          <w:szCs w:val="20"/>
        </w:rPr>
        <w:t xml:space="preserve">: </w:t>
      </w:r>
      <w:hyperlink r:id="rId8" w:history="1">
        <w:r w:rsidR="00CA0C85" w:rsidRPr="00CA0C85">
          <w:rPr>
            <w:rStyle w:val="Hyperlink"/>
            <w:color w:val="auto"/>
            <w:sz w:val="20"/>
            <w:szCs w:val="20"/>
            <w:vertAlign w:val="superscript"/>
          </w:rPr>
          <w:t>1</w:t>
        </w:r>
        <w:r w:rsidR="00CA0C85" w:rsidRPr="00CA0C85">
          <w:rPr>
            <w:rStyle w:val="Hyperlink"/>
            <w:color w:val="auto"/>
            <w:sz w:val="20"/>
            <w:szCs w:val="20"/>
          </w:rPr>
          <w:t>iwandevil1982@gmail.com</w:t>
        </w:r>
        <w:r w:rsidR="00CA0C85" w:rsidRPr="00CA0C85">
          <w:rPr>
            <w:rStyle w:val="Hyperlink"/>
            <w:color w:val="auto"/>
            <w:sz w:val="20"/>
            <w:szCs w:val="20"/>
            <w:u w:color="0000FF"/>
          </w:rPr>
          <w:t xml:space="preserve"> </w:t>
        </w:r>
      </w:hyperlink>
    </w:p>
    <w:p w:rsidR="001B105C" w:rsidRDefault="001B105C" w:rsidP="00CA0C85">
      <w:pPr>
        <w:pStyle w:val="BodyText"/>
        <w:rPr>
          <w:sz w:val="28"/>
        </w:rPr>
      </w:pPr>
    </w:p>
    <w:p w:rsidR="001B105C" w:rsidRDefault="009C00F3">
      <w:pPr>
        <w:pStyle w:val="BodyText"/>
        <w:spacing w:before="90" w:line="360" w:lineRule="auto"/>
        <w:ind w:left="1013" w:right="290"/>
        <w:jc w:val="both"/>
      </w:pPr>
      <w:r>
        <w:rPr>
          <w:b/>
        </w:rPr>
        <w:t xml:space="preserve">ABSTRAK. </w:t>
      </w:r>
      <w:r>
        <w:t>Analisis Perencanaan Perbaikan Tanah Pada Pembangunan Jalan</w:t>
      </w:r>
      <w:r>
        <w:t xml:space="preserve"> Tol Ruas Kuala Tanjung - Inderapura Seksi 2 Zona 1 (STA.0+600 – STA.1+000), Sumatera Utara dengan Metode Kombinasi Prefabricated Vertical Drain (PVD), Prefabricated Horizontal Drain (PHD), dan Preloading. Keadaan tanah seringkali menjadi permasalahan dala</w:t>
      </w:r>
      <w:r>
        <w:t xml:space="preserve">m sebuah pekerjaan konstruksi bangunan khususnya pada pembangunan jalan tol. Untuk memperbaiki sifat tanah </w:t>
      </w:r>
      <w:r>
        <w:rPr>
          <w:spacing w:val="-3"/>
        </w:rPr>
        <w:t xml:space="preserve">lunak </w:t>
      </w:r>
      <w:r>
        <w:t>dapat dicapai dengan beberapa macam cara perbaikan tanah diantaranya melakukan pemadatan pada tanah, penyesuaian gradasi, dan lain-lain. Bebera</w:t>
      </w:r>
      <w:r>
        <w:t>pa macam metode perbaikan tanah dengan cara melakukan konsolidasi adalah Metode kombinasi Prefabricated Vertical Drain (PVD), Prefabricated Horizontal Drain (PHD), dan Preloading, berfungsi sebagai alat bantu untuk mempercepat waktu konsolidasi tanah denga</w:t>
      </w:r>
      <w:r>
        <w:t xml:space="preserve">n cara mempercepat mengeluarkan </w:t>
      </w:r>
      <w:r>
        <w:rPr>
          <w:spacing w:val="-3"/>
        </w:rPr>
        <w:t xml:space="preserve">air </w:t>
      </w:r>
      <w:r>
        <w:t>didalam tanah lunak.</w:t>
      </w:r>
    </w:p>
    <w:p w:rsidR="001B105C" w:rsidRDefault="009C00F3">
      <w:pPr>
        <w:spacing w:line="275" w:lineRule="exact"/>
        <w:ind w:left="1013"/>
        <w:jc w:val="both"/>
        <w:rPr>
          <w:i/>
          <w:sz w:val="24"/>
        </w:rPr>
      </w:pPr>
      <w:r>
        <w:rPr>
          <w:b/>
          <w:sz w:val="24"/>
        </w:rPr>
        <w:t xml:space="preserve">Kata kunci </w:t>
      </w:r>
      <w:r>
        <w:rPr>
          <w:sz w:val="24"/>
        </w:rPr>
        <w:t xml:space="preserve">: </w:t>
      </w:r>
      <w:r>
        <w:rPr>
          <w:i/>
          <w:sz w:val="24"/>
        </w:rPr>
        <w:t>Pvd Preloading, Metode Perbaikan Tanah Lunak Pvd Preloading</w:t>
      </w:r>
    </w:p>
    <w:p w:rsidR="001B105C" w:rsidRDefault="001B105C">
      <w:pPr>
        <w:spacing w:line="275" w:lineRule="exact"/>
        <w:jc w:val="both"/>
        <w:rPr>
          <w:sz w:val="24"/>
        </w:rPr>
        <w:sectPr w:rsidR="001B105C">
          <w:headerReference w:type="default" r:id="rId9"/>
          <w:type w:val="continuous"/>
          <w:pgSz w:w="11920" w:h="16850"/>
          <w:pgMar w:top="2040" w:right="1480" w:bottom="280" w:left="1680" w:header="1164" w:footer="720" w:gutter="0"/>
          <w:cols w:space="720"/>
        </w:sectPr>
      </w:pPr>
    </w:p>
    <w:p w:rsidR="001B105C" w:rsidRDefault="001B105C">
      <w:pPr>
        <w:pStyle w:val="BodyText"/>
        <w:spacing w:before="1"/>
        <w:rPr>
          <w:i/>
          <w:sz w:val="26"/>
        </w:rPr>
      </w:pPr>
    </w:p>
    <w:p w:rsidR="001B105C" w:rsidRDefault="009C00F3">
      <w:pPr>
        <w:pStyle w:val="BodyText"/>
        <w:ind w:left="675"/>
        <w:rPr>
          <w:sz w:val="20"/>
        </w:rPr>
      </w:pPr>
      <w:r>
        <w:rPr>
          <w:sz w:val="20"/>
        </w:rPr>
      </w:r>
      <w:r>
        <w:rPr>
          <w:sz w:val="20"/>
        </w:rPr>
        <w:pict>
          <v:shapetype id="_x0000_t202" coordsize="21600,21600" o:spt="202" path="m,l,21600r21600,l21600,xe">
            <v:stroke joinstyle="miter"/>
            <v:path gradientshapeok="t" o:connecttype="rect"/>
          </v:shapetype>
          <v:shape id="_x0000_s1093" type="#_x0000_t202" style="width:374.6pt;height:273.85pt;mso-left-percent:-10001;mso-top-percent:-10001;mso-position-horizontal:absolute;mso-position-horizontal-relative:char;mso-position-vertical:absolute;mso-position-vertical-relative:line;mso-left-percent:-10001;mso-top-percent:-10001" fillcolor="#f8f8f8" stroked="f">
            <v:textbox inset="0,0,0,0">
              <w:txbxContent>
                <w:p w:rsidR="001B105C" w:rsidRDefault="009C00F3">
                  <w:pPr>
                    <w:pStyle w:val="BodyText"/>
                    <w:spacing w:line="360" w:lineRule="auto"/>
                    <w:ind w:left="26" w:right="21"/>
                    <w:jc w:val="both"/>
                  </w:pPr>
                  <w:r>
                    <w:rPr>
                      <w:b/>
                      <w:i/>
                      <w:color w:val="1F1F22"/>
                    </w:rPr>
                    <w:t>ABSTRACT</w:t>
                  </w:r>
                  <w:r>
                    <w:rPr>
                      <w:i/>
                      <w:color w:val="1F1F22"/>
                    </w:rPr>
                    <w:t xml:space="preserve">. </w:t>
                  </w:r>
                  <w:r>
                    <w:rPr>
                      <w:color w:val="1F1F22"/>
                    </w:rPr>
                    <w:t xml:space="preserve">Analysis of Soil Improvement Planning </w:t>
                  </w:r>
                  <w:r>
                    <w:rPr>
                      <w:color w:val="1F1F22"/>
                      <w:spacing w:val="-3"/>
                    </w:rPr>
                    <w:t xml:space="preserve">in </w:t>
                  </w:r>
                  <w:r>
                    <w:rPr>
                      <w:color w:val="1F1F22"/>
                    </w:rPr>
                    <w:t xml:space="preserve">the Construction </w:t>
                  </w:r>
                  <w:r>
                    <w:rPr>
                      <w:color w:val="1F1F22"/>
                      <w:spacing w:val="4"/>
                    </w:rPr>
                    <w:t xml:space="preserve">of </w:t>
                  </w:r>
                  <w:r>
                    <w:rPr>
                      <w:color w:val="1F1F22"/>
                    </w:rPr>
                    <w:t xml:space="preserve">the Kuala Tanjung - Inderapura Section 2 Toll Road </w:t>
                  </w:r>
                  <w:r>
                    <w:rPr>
                      <w:color w:val="1F1F22"/>
                      <w:spacing w:val="-3"/>
                    </w:rPr>
                    <w:t xml:space="preserve">Zone </w:t>
                  </w:r>
                  <w:r>
                    <w:rPr>
                      <w:color w:val="1F1F22"/>
                    </w:rPr>
                    <w:t>1 (STA.0+600 – STA.1+000), Nort</w:t>
                  </w:r>
                  <w:r>
                    <w:rPr>
                      <w:color w:val="1F1F22"/>
                    </w:rPr>
                    <w:t>h Sumatra with the Combination Method of Prefabricated Vertical Drain (PVD), Prefabricated Horizontal Drain (PHD), and Preloading.</w:t>
                  </w:r>
                </w:p>
                <w:p w:rsidR="001B105C" w:rsidRDefault="009C00F3">
                  <w:pPr>
                    <w:pStyle w:val="BodyText"/>
                    <w:spacing w:line="362" w:lineRule="auto"/>
                    <w:ind w:left="26" w:right="23"/>
                    <w:jc w:val="both"/>
                  </w:pPr>
                  <w:r>
                    <w:rPr>
                      <w:color w:val="1F1F22"/>
                    </w:rPr>
                    <w:t>Soil conditions are often a problem in a building construction work, especially in the construction of toll roads. To improve</w:t>
                  </w:r>
                  <w:r>
                    <w:rPr>
                      <w:color w:val="1F1F22"/>
                    </w:rPr>
                    <w:t xml:space="preserve"> the properties of soft soil can be achieved by several kinds of soil improvement methods including compaction of the soil, gradation adjustments, and others. Several kinds of soil improvement methods by means of consolidation are the combination method of</w:t>
                  </w:r>
                  <w:r>
                    <w:rPr>
                      <w:color w:val="1F1F22"/>
                    </w:rPr>
                    <w:t xml:space="preserve"> Prefabricated Vertical Drain (PVD), Prefabricated Horizontal Drain (PHD), and Preloading, which functions as a tool to speed up soil consolidation time by accelerating the release of water in soft soil.</w:t>
                  </w:r>
                </w:p>
              </w:txbxContent>
            </v:textbox>
            <w10:wrap type="none"/>
            <w10:anchorlock/>
          </v:shape>
        </w:pict>
      </w:r>
    </w:p>
    <w:p w:rsidR="001B105C" w:rsidRDefault="009C00F3">
      <w:pPr>
        <w:spacing w:line="242" w:lineRule="exact"/>
        <w:ind w:left="1013"/>
        <w:rPr>
          <w:i/>
          <w:sz w:val="24"/>
        </w:rPr>
      </w:pPr>
      <w:r>
        <w:rPr>
          <w:b/>
          <w:i/>
          <w:sz w:val="24"/>
        </w:rPr>
        <w:t xml:space="preserve">Keywords </w:t>
      </w:r>
      <w:r>
        <w:rPr>
          <w:i/>
          <w:sz w:val="24"/>
        </w:rPr>
        <w:t>: Pvd Preloading, Pvd Preloading Soft Soil Improvement Method</w:t>
      </w:r>
    </w:p>
    <w:p w:rsidR="001B105C" w:rsidRDefault="001B105C">
      <w:pPr>
        <w:spacing w:line="242" w:lineRule="exact"/>
        <w:rPr>
          <w:sz w:val="24"/>
        </w:rPr>
        <w:sectPr w:rsidR="001B105C">
          <w:pgSz w:w="11920" w:h="16850"/>
          <w:pgMar w:top="2040" w:right="1480" w:bottom="280" w:left="1680" w:header="1164" w:footer="0" w:gutter="0"/>
          <w:cols w:space="720"/>
        </w:sectPr>
      </w:pPr>
    </w:p>
    <w:p w:rsidR="001B105C" w:rsidRDefault="001B105C">
      <w:pPr>
        <w:pStyle w:val="BodyText"/>
        <w:spacing w:before="5"/>
        <w:rPr>
          <w:i/>
          <w:sz w:val="18"/>
        </w:rPr>
      </w:pPr>
    </w:p>
    <w:p w:rsidR="001B105C" w:rsidRDefault="009C00F3">
      <w:pPr>
        <w:pStyle w:val="Heading1"/>
        <w:numPr>
          <w:ilvl w:val="0"/>
          <w:numId w:val="3"/>
        </w:numPr>
        <w:tabs>
          <w:tab w:val="left" w:pos="385"/>
        </w:tabs>
        <w:spacing w:before="90"/>
      </w:pPr>
      <w:bookmarkStart w:id="1" w:name="1._PENDAHULUAN"/>
      <w:bookmarkEnd w:id="1"/>
      <w:r>
        <w:t>PENDAHULUAN</w:t>
      </w:r>
    </w:p>
    <w:p w:rsidR="001B105C" w:rsidRDefault="009C00F3">
      <w:pPr>
        <w:pStyle w:val="BodyText"/>
        <w:spacing w:before="136" w:line="360" w:lineRule="auto"/>
        <w:ind w:left="101" w:right="109"/>
        <w:jc w:val="both"/>
      </w:pPr>
      <w:r>
        <w:t xml:space="preserve">Menurut Panduan Geoteknik 1 (2002) tanah lunak adalah tanah </w:t>
      </w:r>
      <w:r>
        <w:rPr>
          <w:spacing w:val="-3"/>
        </w:rPr>
        <w:t xml:space="preserve">yang </w:t>
      </w:r>
      <w:r>
        <w:t xml:space="preserve">mengandung mineral lempung dan </w:t>
      </w:r>
      <w:r>
        <w:rPr>
          <w:spacing w:val="-3"/>
        </w:rPr>
        <w:t xml:space="preserve">juga </w:t>
      </w:r>
      <w:r>
        <w:t xml:space="preserve">mengandung kadar </w:t>
      </w:r>
      <w:r>
        <w:rPr>
          <w:spacing w:val="-4"/>
        </w:rPr>
        <w:t xml:space="preserve">air </w:t>
      </w:r>
      <w:r>
        <w:rPr>
          <w:spacing w:val="-3"/>
        </w:rPr>
        <w:t xml:space="preserve">yang </w:t>
      </w:r>
      <w:r>
        <w:t xml:space="preserve">tinggi, sehingga dapat menyebabkan kuat geser </w:t>
      </w:r>
      <w:r>
        <w:rPr>
          <w:spacing w:val="-3"/>
        </w:rPr>
        <w:t xml:space="preserve">yang </w:t>
      </w:r>
      <w:r>
        <w:t xml:space="preserve">rendah. Menurut Bowles (1991) apabila tanah yang terdapat pada lapangan tersebut mempunyai sifat-sifat yang tidak diharapkan seperti tanah yang sangat lunak, compressible, dan kembang susut </w:t>
      </w:r>
      <w:r>
        <w:rPr>
          <w:spacing w:val="-3"/>
        </w:rPr>
        <w:t xml:space="preserve">yang </w:t>
      </w:r>
      <w:r>
        <w:t>besar maka</w:t>
      </w:r>
      <w:r>
        <w:t xml:space="preserve"> suatu bangunan </w:t>
      </w:r>
      <w:r>
        <w:rPr>
          <w:spacing w:val="-3"/>
        </w:rPr>
        <w:t xml:space="preserve">yang </w:t>
      </w:r>
      <w:r>
        <w:t>berdiri diatas tanah tersebut akan mengalami penurunan dan mengalami kerusakan. Untuk memperbaiki sifat tanah lunak dapat dicapai dengan beberapa macam cara perbaikan tanah diantaranya melakukan pemadatan pada tanah, penyesuaian gradas</w:t>
      </w:r>
      <w:r>
        <w:t>i, dan</w:t>
      </w:r>
      <w:r>
        <w:rPr>
          <w:spacing w:val="-19"/>
        </w:rPr>
        <w:t xml:space="preserve"> </w:t>
      </w:r>
      <w:r>
        <w:t>lain-lain.</w:t>
      </w:r>
    </w:p>
    <w:p w:rsidR="001B105C" w:rsidRDefault="009C00F3">
      <w:pPr>
        <w:pStyle w:val="BodyText"/>
        <w:spacing w:before="3" w:line="360" w:lineRule="auto"/>
        <w:ind w:left="101" w:right="115"/>
        <w:jc w:val="both"/>
      </w:pPr>
      <w:r>
        <w:t>Beberapa macam metode perbaikan tanah dengan cara melakukan konsolidasi adalah Metode kombinasi Prefabricated Vertical Drain (PVD), Prefabricated Horizontal Drain (PHD), dan Preloading, berfungsi sebagai alat bantu untuk mempercepat waktu</w:t>
      </w:r>
      <w:r>
        <w:t xml:space="preserve"> konsolidasi tanah dengan cara mempercepat mengeluarkan </w:t>
      </w:r>
      <w:r>
        <w:rPr>
          <w:spacing w:val="-3"/>
        </w:rPr>
        <w:t xml:space="preserve">air </w:t>
      </w:r>
      <w:r>
        <w:t>didalam tanah</w:t>
      </w:r>
      <w:r>
        <w:rPr>
          <w:spacing w:val="8"/>
        </w:rPr>
        <w:t xml:space="preserve"> </w:t>
      </w:r>
      <w:r>
        <w:t>lunak.</w:t>
      </w:r>
    </w:p>
    <w:p w:rsidR="001B105C" w:rsidRDefault="009C00F3">
      <w:pPr>
        <w:pStyle w:val="BodyText"/>
        <w:spacing w:before="5" w:line="360" w:lineRule="auto"/>
        <w:ind w:left="101" w:right="112"/>
        <w:jc w:val="both"/>
      </w:pPr>
      <w:r>
        <w:t xml:space="preserve">Metode Preloading merupakan metode perbaikan tanah dengan menempatkan beban sementara pada lahan konstruksi sebelum struktur rencana didirikan atau terkadang sebelum struktur </w:t>
      </w:r>
      <w:r>
        <w:t>dimanfaatkan sesuai rencana. Preloading ini berfungsi untuk mengeluarkan air dan udara didalam tanah melalui Prefabricated Horizontal Drain (PHD) yang terhubung dengan Prefabricated Vertical Drain (PVD) di dalam tanah.</w:t>
      </w:r>
    </w:p>
    <w:p w:rsidR="001B105C" w:rsidRDefault="009C00F3">
      <w:pPr>
        <w:pStyle w:val="BodyText"/>
        <w:spacing w:before="5" w:line="360" w:lineRule="auto"/>
        <w:ind w:left="101" w:right="110"/>
        <w:jc w:val="both"/>
      </w:pPr>
      <w:r>
        <w:t>Proyek Jalan Tol Ruas Kuala Tanjung -</w:t>
      </w:r>
      <w:r>
        <w:t xml:space="preserve"> Inderapura Seksi 2 Zona 1 (STA.0+600 – STA.1+000) ini terdapat di Kabupaten Batu Bara, Sumatera Utara. Pemilik proyek pembangunan Jalan Tol ini adalah PT. Hutama Marga Waskita, dengan Kontraktor Utama PT. Waskita Karya (persero), tbk dan </w:t>
      </w:r>
      <w:r>
        <w:rPr>
          <w:spacing w:val="3"/>
        </w:rPr>
        <w:t xml:space="preserve">Sub- </w:t>
      </w:r>
      <w:r>
        <w:t>Kontraktor d</w:t>
      </w:r>
      <w:r>
        <w:t xml:space="preserve">alam bidang perbaikan tanah adalah PT. Geostructure Dynamics. Berdasarkan analisa penyelidikan tanah (soil investigation) dan uji laboratorium kawasan proyek pembangunan Jalan </w:t>
      </w:r>
      <w:r>
        <w:rPr>
          <w:spacing w:val="3"/>
        </w:rPr>
        <w:t xml:space="preserve">tol </w:t>
      </w:r>
      <w:r>
        <w:t>ini merupakan daerah yang memiliki jenis tanah dasar Lempung Lunak dan pasir</w:t>
      </w:r>
      <w:r>
        <w:t xml:space="preserve">. Dengan kondisi tanah seperti yang disebutkan diatas, maka pada lokasi proyek </w:t>
      </w:r>
      <w:r>
        <w:rPr>
          <w:spacing w:val="2"/>
        </w:rPr>
        <w:t xml:space="preserve">Jalan </w:t>
      </w:r>
      <w:r>
        <w:t xml:space="preserve">Tol tersebut perlu dilakukan perbaikan tanah lunak. Pada penelitian terdahulu </w:t>
      </w:r>
      <w:r>
        <w:rPr>
          <w:spacing w:val="-3"/>
        </w:rPr>
        <w:t xml:space="preserve">yang </w:t>
      </w:r>
      <w:r>
        <w:t>dilakukan oleh Fanny (2018) melakukan perencanaan perbaikan tanah lunak dengan metode Pr</w:t>
      </w:r>
      <w:r>
        <w:t xml:space="preserve">eloading kombinasi PVD pada pembangunan Kota Sumareccon Bandung Area Mall. Perencanaan perbaikan tanah lunak itu bertujuan untuk menganalisis lama waktu </w:t>
      </w:r>
      <w:r>
        <w:rPr>
          <w:spacing w:val="-3"/>
        </w:rPr>
        <w:t xml:space="preserve">yang </w:t>
      </w:r>
      <w:r>
        <w:t>dibutuhkan agar tanah mencapai derajat konsolidasi 90%, menganalisis penggunaan pola PVD, dan meng</w:t>
      </w:r>
      <w:r>
        <w:t>analis daya dukung tiang pancang. Pada perencanaan tersebut tinggi timbunan setinggi 6 m dan kedalaman PVD sedalam 25 m untuk Zona 1 dan 27 untuk zona 2, dengan penurunan 1.52 m untuk Zona 1 dan 1.4 m untuk Zona 2. Dengan desain tersebut waktu yang diperlu</w:t>
      </w:r>
      <w:r>
        <w:t xml:space="preserve">kan untuk mencapai derajat konsolidasi 90% adalah </w:t>
      </w:r>
      <w:r>
        <w:rPr>
          <w:spacing w:val="4"/>
        </w:rPr>
        <w:t xml:space="preserve">6- </w:t>
      </w:r>
      <w:r>
        <w:t xml:space="preserve">7 minggu dengan jarak PVD 1 </w:t>
      </w:r>
      <w:r>
        <w:rPr>
          <w:spacing w:val="-3"/>
        </w:rPr>
        <w:t xml:space="preserve">m, </w:t>
      </w:r>
      <w:r>
        <w:t xml:space="preserve">12-14 Minggu dengan jarak PVD 1.3 </w:t>
      </w:r>
      <w:r>
        <w:rPr>
          <w:spacing w:val="-5"/>
        </w:rPr>
        <w:t xml:space="preserve">m, </w:t>
      </w:r>
      <w:r>
        <w:t xml:space="preserve">dan 16-19 minggu dengan </w:t>
      </w:r>
      <w:r>
        <w:rPr>
          <w:spacing w:val="-3"/>
        </w:rPr>
        <w:t xml:space="preserve">jarak </w:t>
      </w:r>
      <w:r>
        <w:t>PVD 1.5</w:t>
      </w:r>
      <w:r>
        <w:rPr>
          <w:spacing w:val="26"/>
        </w:rPr>
        <w:t xml:space="preserve"> </w:t>
      </w:r>
      <w:r>
        <w:rPr>
          <w:spacing w:val="-5"/>
        </w:rPr>
        <w:t>m.</w:t>
      </w:r>
    </w:p>
    <w:p w:rsidR="001B105C" w:rsidRDefault="009C00F3">
      <w:pPr>
        <w:pStyle w:val="BodyText"/>
        <w:spacing w:before="2" w:line="360" w:lineRule="auto"/>
        <w:ind w:left="101" w:right="113"/>
        <w:jc w:val="both"/>
      </w:pPr>
      <w:r>
        <w:t>Berdasarkan latar belakang diatas maka dilakukan studi perencanaan perbaikan tanah lunak denga</w:t>
      </w:r>
      <w:r>
        <w:t>n judul “Analisis Perencanaan Perbaikan Tanah Pada Pembangunan Jalan Tol Ruas Kuala - Tanjung Inderapura Seksi 2 Zona 1 (STA.0+600 – STA.1+000), Sumatera Utara dengan Metode Kombinasi</w:t>
      </w:r>
    </w:p>
    <w:p w:rsidR="001B105C" w:rsidRDefault="001B105C">
      <w:pPr>
        <w:spacing w:line="360" w:lineRule="auto"/>
        <w:jc w:val="both"/>
        <w:sectPr w:rsidR="001B105C">
          <w:headerReference w:type="default" r:id="rId10"/>
          <w:pgSz w:w="11910" w:h="16840"/>
          <w:pgMar w:top="1140" w:right="740" w:bottom="280" w:left="1080" w:header="329" w:footer="0" w:gutter="0"/>
          <w:cols w:space="720"/>
        </w:sectPr>
      </w:pPr>
    </w:p>
    <w:p w:rsidR="001B105C" w:rsidRDefault="009C00F3">
      <w:pPr>
        <w:pStyle w:val="BodyText"/>
        <w:spacing w:before="23" w:line="360" w:lineRule="auto"/>
        <w:ind w:left="101" w:right="127"/>
        <w:jc w:val="both"/>
      </w:pPr>
      <w:r>
        <w:lastRenderedPageBreak/>
        <w:t>Prefabricated Vertical Drain (PVD), Prefabricated Horizontal Drain (PHD), dan Preloading”. Dengan tujuan menganalisis kecepatan waktu dan penurunan konsolidasi untuk proses pembangunan.</w:t>
      </w:r>
    </w:p>
    <w:p w:rsidR="001B105C" w:rsidRDefault="001B105C">
      <w:pPr>
        <w:pStyle w:val="BodyText"/>
        <w:rPr>
          <w:sz w:val="34"/>
        </w:rPr>
      </w:pPr>
    </w:p>
    <w:p w:rsidR="001B105C" w:rsidRDefault="009C00F3">
      <w:pPr>
        <w:pStyle w:val="ListParagraph"/>
        <w:numPr>
          <w:ilvl w:val="0"/>
          <w:numId w:val="3"/>
        </w:numPr>
        <w:tabs>
          <w:tab w:val="left" w:pos="385"/>
        </w:tabs>
        <w:rPr>
          <w:b/>
        </w:rPr>
      </w:pPr>
      <w:bookmarkStart w:id="2" w:name="2._TINJAUAN_PUSTAKA"/>
      <w:bookmarkEnd w:id="2"/>
      <w:r>
        <w:rPr>
          <w:b/>
        </w:rPr>
        <w:t>T</w:t>
      </w:r>
      <w:r>
        <w:rPr>
          <w:b/>
        </w:rPr>
        <w:t>INJAUAN</w:t>
      </w:r>
      <w:r>
        <w:rPr>
          <w:b/>
          <w:spacing w:val="-4"/>
        </w:rPr>
        <w:t xml:space="preserve"> </w:t>
      </w:r>
      <w:r>
        <w:rPr>
          <w:b/>
        </w:rPr>
        <w:t>PUSTAKA</w:t>
      </w:r>
    </w:p>
    <w:p w:rsidR="001B105C" w:rsidRDefault="009C00F3">
      <w:pPr>
        <w:pStyle w:val="BodyText"/>
        <w:spacing w:before="122" w:line="360" w:lineRule="auto"/>
        <w:ind w:left="101" w:right="112"/>
        <w:jc w:val="both"/>
      </w:pPr>
      <w:r>
        <w:t>Tanah adalah akumulasi partikel mineral yang tersementasi (terikat secara kimia) satu sama lain yang terbentuk akibat pelapukan dari batuan. Proses penghancuran dalam pembentukan tanah dari batuan terjadi secara fisis dan kimiawi. Secara fisis dapat diakib</w:t>
      </w:r>
      <w:r>
        <w:t>atkan dengan erosi oleh air, angin atau perpecahan akibat pembekuan dan pencairan es dalam batuan. Sedangkan cara kimiawi, mineral batuan induk diubah menjadi mineral-mineral baru melalui reaksi kimia. Air dan karbon dioksida dari udara membentuk asam-asam</w:t>
      </w:r>
      <w:r>
        <w:t xml:space="preserve"> karbon yang kemudian bereaksi dengan mineral-mineral batuan dan membentuk mineralmineral baru ditambah garam-garam terlarut. Akibat dari pembentukan tanah secara kimiawi, maka tanah mempunyai struktur dan sifat-sifat yang berbeda (Das, 1985).</w:t>
      </w:r>
    </w:p>
    <w:p w:rsidR="001B105C" w:rsidRDefault="009C00F3">
      <w:pPr>
        <w:pStyle w:val="BodyText"/>
        <w:spacing w:before="7" w:line="360" w:lineRule="auto"/>
        <w:ind w:left="101" w:right="113"/>
        <w:jc w:val="both"/>
      </w:pPr>
      <w:r>
        <w:t>Menurut (Ter</w:t>
      </w:r>
      <w:r>
        <w:t xml:space="preserve">zaghi, 1925) tanah didefinisikan sebagai material dari agregat mineral – mineral padat yang tidak tersementasi satu sama lain dan </w:t>
      </w:r>
      <w:r>
        <w:rPr>
          <w:spacing w:val="2"/>
        </w:rPr>
        <w:t xml:space="preserve">dari </w:t>
      </w:r>
      <w:r>
        <w:t xml:space="preserve">bahan – bahan organik yang telah melapuk (berpartikel padat) disertai dengan zat </w:t>
      </w:r>
      <w:r>
        <w:rPr>
          <w:spacing w:val="-3"/>
        </w:rPr>
        <w:t xml:space="preserve">cair </w:t>
      </w:r>
      <w:r>
        <w:t xml:space="preserve">dan gas </w:t>
      </w:r>
      <w:r>
        <w:rPr>
          <w:spacing w:val="-3"/>
        </w:rPr>
        <w:t xml:space="preserve">yang </w:t>
      </w:r>
      <w:r>
        <w:t xml:space="preserve">mengisi ruang – ruang </w:t>
      </w:r>
      <w:r>
        <w:t xml:space="preserve">kosong di antara partikel – pertikel padat tersebut. Lapisan tanah yang lunak adalah lempung (clay) atau lanau (silt) yang mempunyai nilai harga penetrasi standar (SPT) N yang &lt; 4 atau tanah organik seperti gambut yang memiliki kadar </w:t>
      </w:r>
      <w:r>
        <w:rPr>
          <w:spacing w:val="-3"/>
        </w:rPr>
        <w:t xml:space="preserve">air </w:t>
      </w:r>
      <w:r>
        <w:t>alamiah yang sanga</w:t>
      </w:r>
      <w:r>
        <w:t>t tinggi. Tanah lempung merupakan jenis tanah berbutir halus dengan ukurannya &lt; 2µ atau 5µ (Mochtar</w:t>
      </w:r>
      <w:r>
        <w:rPr>
          <w:spacing w:val="2"/>
        </w:rPr>
        <w:t xml:space="preserve"> </w:t>
      </w:r>
      <w:r>
        <w:t>1988).</w:t>
      </w:r>
    </w:p>
    <w:p w:rsidR="001B105C" w:rsidRDefault="009C00F3">
      <w:pPr>
        <w:pStyle w:val="BodyText"/>
        <w:spacing w:before="2"/>
        <w:ind w:left="101"/>
        <w:jc w:val="both"/>
      </w:pPr>
      <w:r>
        <w:t>Tanah lempung merupakan tanah kohesif yang memiliki:</w:t>
      </w:r>
    </w:p>
    <w:p w:rsidR="001B105C" w:rsidRDefault="009C00F3">
      <w:pPr>
        <w:pStyle w:val="ListParagraph"/>
        <w:numPr>
          <w:ilvl w:val="0"/>
          <w:numId w:val="2"/>
        </w:numPr>
        <w:tabs>
          <w:tab w:val="left" w:pos="462"/>
        </w:tabs>
        <w:spacing w:before="141"/>
        <w:ind w:hanging="361"/>
        <w:rPr>
          <w:sz w:val="24"/>
        </w:rPr>
      </w:pPr>
      <w:r>
        <w:rPr>
          <w:sz w:val="24"/>
        </w:rPr>
        <w:t xml:space="preserve">Nilai kadar </w:t>
      </w:r>
      <w:r>
        <w:rPr>
          <w:spacing w:val="-3"/>
          <w:sz w:val="24"/>
        </w:rPr>
        <w:t xml:space="preserve">air </w:t>
      </w:r>
      <w:r>
        <w:rPr>
          <w:sz w:val="24"/>
        </w:rPr>
        <w:t xml:space="preserve">berkisar antara 30%-50% pada kondisi </w:t>
      </w:r>
      <w:r>
        <w:rPr>
          <w:spacing w:val="-3"/>
          <w:sz w:val="24"/>
        </w:rPr>
        <w:t>air</w:t>
      </w:r>
      <w:r>
        <w:rPr>
          <w:spacing w:val="-4"/>
          <w:sz w:val="24"/>
        </w:rPr>
        <w:t xml:space="preserve"> </w:t>
      </w:r>
      <w:r>
        <w:rPr>
          <w:sz w:val="24"/>
        </w:rPr>
        <w:t>jenuh.</w:t>
      </w:r>
    </w:p>
    <w:p w:rsidR="001B105C" w:rsidRDefault="009C00F3">
      <w:pPr>
        <w:pStyle w:val="ListParagraph"/>
        <w:numPr>
          <w:ilvl w:val="0"/>
          <w:numId w:val="2"/>
        </w:numPr>
        <w:tabs>
          <w:tab w:val="left" w:pos="462"/>
        </w:tabs>
        <w:spacing w:before="147"/>
        <w:ind w:hanging="361"/>
        <w:rPr>
          <w:sz w:val="24"/>
        </w:rPr>
      </w:pPr>
      <w:r>
        <w:rPr>
          <w:sz w:val="24"/>
        </w:rPr>
        <w:t>Angka pori berkisar antara 0.9 s</w:t>
      </w:r>
      <w:r>
        <w:rPr>
          <w:sz w:val="24"/>
        </w:rPr>
        <w:t>ampai 1.4 (Braja M.Das,</w:t>
      </w:r>
      <w:r>
        <w:rPr>
          <w:spacing w:val="-24"/>
          <w:sz w:val="24"/>
        </w:rPr>
        <w:t xml:space="preserve"> </w:t>
      </w:r>
      <w:r>
        <w:rPr>
          <w:sz w:val="24"/>
        </w:rPr>
        <w:t>1985).</w:t>
      </w:r>
    </w:p>
    <w:p w:rsidR="001B105C" w:rsidRDefault="009C00F3">
      <w:pPr>
        <w:pStyle w:val="ListParagraph"/>
        <w:numPr>
          <w:ilvl w:val="0"/>
          <w:numId w:val="2"/>
        </w:numPr>
        <w:tabs>
          <w:tab w:val="left" w:pos="462"/>
        </w:tabs>
        <w:spacing w:before="141"/>
        <w:ind w:hanging="361"/>
        <w:jc w:val="both"/>
        <w:rPr>
          <w:sz w:val="24"/>
        </w:rPr>
      </w:pPr>
      <w:r>
        <w:rPr>
          <w:sz w:val="24"/>
        </w:rPr>
        <w:t xml:space="preserve">Berat </w:t>
      </w:r>
      <w:r>
        <w:rPr>
          <w:spacing w:val="-2"/>
          <w:sz w:val="24"/>
        </w:rPr>
        <w:t xml:space="preserve">volume </w:t>
      </w:r>
      <w:r>
        <w:rPr>
          <w:sz w:val="24"/>
        </w:rPr>
        <w:t xml:space="preserve">berkisar antara 0.9 t/m3 sampai dengan 1.25 </w:t>
      </w:r>
      <w:r>
        <w:rPr>
          <w:spacing w:val="-3"/>
          <w:sz w:val="24"/>
        </w:rPr>
        <w:t xml:space="preserve">t/m3 </w:t>
      </w:r>
      <w:r>
        <w:rPr>
          <w:sz w:val="24"/>
        </w:rPr>
        <w:t>(Braja</w:t>
      </w:r>
      <w:r>
        <w:rPr>
          <w:spacing w:val="5"/>
          <w:sz w:val="24"/>
        </w:rPr>
        <w:t xml:space="preserve"> </w:t>
      </w:r>
      <w:r>
        <w:rPr>
          <w:sz w:val="24"/>
        </w:rPr>
        <w:t>M.Das,1985).</w:t>
      </w:r>
    </w:p>
    <w:p w:rsidR="001B105C" w:rsidRDefault="009C00F3">
      <w:pPr>
        <w:pStyle w:val="ListParagraph"/>
        <w:numPr>
          <w:ilvl w:val="0"/>
          <w:numId w:val="2"/>
        </w:numPr>
        <w:tabs>
          <w:tab w:val="left" w:pos="462"/>
        </w:tabs>
        <w:spacing w:before="142" w:line="360" w:lineRule="auto"/>
        <w:ind w:right="113"/>
        <w:jc w:val="both"/>
        <w:rPr>
          <w:sz w:val="24"/>
        </w:rPr>
      </w:pPr>
      <w:r>
        <w:rPr>
          <w:sz w:val="24"/>
        </w:rPr>
        <w:t xml:space="preserve">Spesific Gravity rata-rata berkisar antara 2.7 – 2.9. Tanah lempung </w:t>
      </w:r>
      <w:r>
        <w:rPr>
          <w:spacing w:val="-3"/>
          <w:sz w:val="24"/>
        </w:rPr>
        <w:t xml:space="preserve">lunak </w:t>
      </w:r>
      <w:r>
        <w:rPr>
          <w:sz w:val="24"/>
        </w:rPr>
        <w:t xml:space="preserve">didefinisikan sebagai lempung </w:t>
      </w:r>
      <w:r>
        <w:rPr>
          <w:spacing w:val="-3"/>
          <w:sz w:val="24"/>
        </w:rPr>
        <w:t xml:space="preserve">yang </w:t>
      </w:r>
      <w:r>
        <w:rPr>
          <w:sz w:val="24"/>
        </w:rPr>
        <w:t>mempunyai tegangan geser kurang da</w:t>
      </w:r>
      <w:r>
        <w:rPr>
          <w:sz w:val="24"/>
        </w:rPr>
        <w:t xml:space="preserve">ri 25 Kpa. (Edward W and Rolf Peter </w:t>
      </w:r>
      <w:r>
        <w:rPr>
          <w:spacing w:val="-4"/>
          <w:sz w:val="24"/>
        </w:rPr>
        <w:t xml:space="preserve">B, </w:t>
      </w:r>
      <w:r>
        <w:rPr>
          <w:sz w:val="24"/>
        </w:rPr>
        <w:t>1981).</w:t>
      </w:r>
    </w:p>
    <w:p w:rsidR="001B105C" w:rsidRDefault="009C00F3">
      <w:pPr>
        <w:pStyle w:val="ListParagraph"/>
        <w:numPr>
          <w:ilvl w:val="0"/>
          <w:numId w:val="2"/>
        </w:numPr>
        <w:tabs>
          <w:tab w:val="left" w:pos="462"/>
        </w:tabs>
        <w:spacing w:before="2"/>
        <w:ind w:hanging="361"/>
        <w:jc w:val="both"/>
        <w:rPr>
          <w:sz w:val="24"/>
        </w:rPr>
      </w:pPr>
      <w:r>
        <w:rPr>
          <w:sz w:val="24"/>
        </w:rPr>
        <w:t>Peck dkk, (1953) mengklasifikasikan lempung berdasarkan hubungan antar</w:t>
      </w:r>
      <w:r>
        <w:rPr>
          <w:spacing w:val="-11"/>
          <w:sz w:val="24"/>
        </w:rPr>
        <w:t xml:space="preserve"> </w:t>
      </w:r>
      <w:r>
        <w:rPr>
          <w:sz w:val="24"/>
        </w:rPr>
        <w:t>konsistensi.</w:t>
      </w:r>
    </w:p>
    <w:p w:rsidR="001B105C" w:rsidRDefault="001B105C">
      <w:pPr>
        <w:jc w:val="both"/>
        <w:rPr>
          <w:sz w:val="24"/>
        </w:rPr>
        <w:sectPr w:rsidR="001B105C">
          <w:pgSz w:w="11910" w:h="16840"/>
          <w:pgMar w:top="1140" w:right="740" w:bottom="280" w:left="1080" w:header="329" w:footer="0" w:gutter="0"/>
          <w:cols w:space="720"/>
        </w:sectPr>
      </w:pPr>
    </w:p>
    <w:p w:rsidR="001B105C" w:rsidRDefault="009C00F3">
      <w:pPr>
        <w:pStyle w:val="Heading1"/>
        <w:numPr>
          <w:ilvl w:val="0"/>
          <w:numId w:val="1"/>
        </w:numPr>
        <w:tabs>
          <w:tab w:val="left" w:pos="385"/>
        </w:tabs>
        <w:spacing w:before="28" w:line="360" w:lineRule="auto"/>
        <w:ind w:right="6436" w:firstLine="0"/>
        <w:jc w:val="both"/>
      </w:pPr>
      <w:bookmarkStart w:id="3" w:name="3._METODOLOGI_PENELITIAN"/>
      <w:bookmarkEnd w:id="3"/>
      <w:r>
        <w:lastRenderedPageBreak/>
        <w:t>METODOLOGI</w:t>
      </w:r>
      <w:r>
        <w:rPr>
          <w:spacing w:val="-15"/>
        </w:rPr>
        <w:t xml:space="preserve"> </w:t>
      </w:r>
      <w:r>
        <w:t>PENELITIAN Deskripsi</w:t>
      </w:r>
      <w:r>
        <w:rPr>
          <w:spacing w:val="1"/>
        </w:rPr>
        <w:t xml:space="preserve"> </w:t>
      </w:r>
      <w:r>
        <w:t>Proyek</w:t>
      </w:r>
    </w:p>
    <w:p w:rsidR="001B105C" w:rsidRDefault="009C00F3">
      <w:pPr>
        <w:pStyle w:val="BodyText"/>
        <w:spacing w:line="360" w:lineRule="auto"/>
        <w:ind w:left="101" w:right="113"/>
        <w:jc w:val="both"/>
      </w:pPr>
      <w:r>
        <w:t>Objek studi kasus pada penulisan skripsi adalah Proyek Pembangunan Jalan Tol Ruas Kuala - Tanjung Inderapura Seksi 2 Zona 1 pada (STA.0+600 – STA.1+000). Dimana kondisi tanah pada proyek pembangunan tol tersebut termasuk jenis tanah dasar Lempung Lunak dan</w:t>
      </w:r>
      <w:r>
        <w:t xml:space="preserve"> pasir, dan diperlukan perbaikan tanah terlebih dahulu sebelum dilakukan pembangunan Jalan Tol.</w:t>
      </w:r>
    </w:p>
    <w:p w:rsidR="001B105C" w:rsidRDefault="009C00F3">
      <w:pPr>
        <w:pStyle w:val="BodyText"/>
        <w:spacing w:before="11"/>
        <w:rPr>
          <w:sz w:val="8"/>
        </w:rPr>
      </w:pPr>
      <w:r>
        <w:rPr>
          <w:noProof/>
          <w:lang w:val="en-US"/>
        </w:rPr>
        <w:drawing>
          <wp:anchor distT="0" distB="0" distL="0" distR="0" simplePos="0" relativeHeight="251659264" behindDoc="0" locked="0" layoutInCell="1" allowOverlap="1">
            <wp:simplePos x="0" y="0"/>
            <wp:positionH relativeFrom="page">
              <wp:posOffset>1054100</wp:posOffset>
            </wp:positionH>
            <wp:positionV relativeFrom="paragraph">
              <wp:posOffset>90479</wp:posOffset>
            </wp:positionV>
            <wp:extent cx="5079056" cy="3336036"/>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5079056" cy="3336036"/>
                    </a:xfrm>
                    <a:prstGeom prst="rect">
                      <a:avLst/>
                    </a:prstGeom>
                  </pic:spPr>
                </pic:pic>
              </a:graphicData>
            </a:graphic>
          </wp:anchor>
        </w:drawing>
      </w:r>
    </w:p>
    <w:p w:rsidR="001B105C" w:rsidRDefault="009C00F3">
      <w:pPr>
        <w:pStyle w:val="BodyText"/>
        <w:ind w:left="2283" w:right="2306"/>
        <w:jc w:val="center"/>
      </w:pPr>
      <w:r>
        <w:t>Sumber : Google earth di akses tanggal 14 Agustus 2022</w:t>
      </w:r>
    </w:p>
    <w:p w:rsidR="001B105C" w:rsidRDefault="001B105C">
      <w:pPr>
        <w:pStyle w:val="BodyText"/>
        <w:rPr>
          <w:sz w:val="26"/>
        </w:rPr>
      </w:pPr>
    </w:p>
    <w:p w:rsidR="001B105C" w:rsidRDefault="001B105C">
      <w:pPr>
        <w:pStyle w:val="BodyText"/>
        <w:spacing w:before="5"/>
        <w:rPr>
          <w:sz w:val="28"/>
        </w:rPr>
      </w:pPr>
    </w:p>
    <w:p w:rsidR="001B105C" w:rsidRDefault="009C00F3">
      <w:pPr>
        <w:pStyle w:val="Heading1"/>
      </w:pPr>
      <w:r>
        <w:t>Data Umum Proyek</w:t>
      </w:r>
    </w:p>
    <w:p w:rsidR="001B105C" w:rsidRDefault="009C00F3">
      <w:pPr>
        <w:pStyle w:val="BodyText"/>
        <w:spacing w:before="132" w:line="364" w:lineRule="auto"/>
        <w:ind w:left="101"/>
      </w:pPr>
      <w:r>
        <w:t>Data umum Proyek Pembangunan Jalan Tol Ruas Kuala Tanjung – Inderapura Seksi 2 Zona 1 (STA.0+000 - STA.7+500) adalah sebagai berikut :</w:t>
      </w:r>
    </w:p>
    <w:p w:rsidR="001B105C" w:rsidRDefault="009C00F3">
      <w:pPr>
        <w:pStyle w:val="BodyText"/>
        <w:tabs>
          <w:tab w:val="left" w:pos="2262"/>
        </w:tabs>
        <w:spacing w:line="268" w:lineRule="exact"/>
        <w:ind w:left="101"/>
      </w:pPr>
      <w:r>
        <w:t>Nama</w:t>
      </w:r>
      <w:r>
        <w:rPr>
          <w:spacing w:val="-4"/>
        </w:rPr>
        <w:t xml:space="preserve"> </w:t>
      </w:r>
      <w:r>
        <w:t>Proyek</w:t>
      </w:r>
      <w:r>
        <w:tab/>
        <w:t>: Proyek Pembangunan Jalan Tol Ruas Kuala -</w:t>
      </w:r>
      <w:r>
        <w:rPr>
          <w:spacing w:val="2"/>
        </w:rPr>
        <w:t xml:space="preserve"> </w:t>
      </w:r>
      <w:r>
        <w:t>Tanjung</w:t>
      </w:r>
    </w:p>
    <w:p w:rsidR="001B105C" w:rsidRDefault="009C00F3">
      <w:pPr>
        <w:pStyle w:val="BodyText"/>
        <w:tabs>
          <w:tab w:val="left" w:pos="2262"/>
        </w:tabs>
        <w:spacing w:before="142" w:line="360" w:lineRule="auto"/>
        <w:ind w:left="101" w:right="2454" w:firstLine="2285"/>
      </w:pPr>
      <w:r>
        <w:t>Inderapura Seksi 2 Zona 1 (STA.0+000 –</w:t>
      </w:r>
      <w:r>
        <w:rPr>
          <w:spacing w:val="-17"/>
        </w:rPr>
        <w:t xml:space="preserve"> </w:t>
      </w:r>
      <w:r>
        <w:t>STA.7+500) Pemilik</w:t>
      </w:r>
      <w:r>
        <w:rPr>
          <w:spacing w:val="-3"/>
        </w:rPr>
        <w:t xml:space="preserve"> </w:t>
      </w:r>
      <w:r>
        <w:t>Proyek</w:t>
      </w:r>
      <w:r>
        <w:tab/>
        <w:t>: PT. Hutama Marga</w:t>
      </w:r>
      <w:r>
        <w:rPr>
          <w:spacing w:val="11"/>
        </w:rPr>
        <w:t xml:space="preserve"> </w:t>
      </w:r>
      <w:r>
        <w:t>Waskita</w:t>
      </w:r>
    </w:p>
    <w:p w:rsidR="001B105C" w:rsidRDefault="009C00F3">
      <w:pPr>
        <w:pStyle w:val="BodyText"/>
        <w:tabs>
          <w:tab w:val="left" w:pos="2262"/>
        </w:tabs>
        <w:spacing w:line="362" w:lineRule="auto"/>
        <w:ind w:left="101" w:right="3677"/>
      </w:pPr>
      <w:r>
        <w:t>Konsultan Perencana : PT. Mitrapasific Consulindo International Kontraktor</w:t>
      </w:r>
      <w:r>
        <w:rPr>
          <w:spacing w:val="4"/>
        </w:rPr>
        <w:t xml:space="preserve"> </w:t>
      </w:r>
      <w:r>
        <w:rPr>
          <w:spacing w:val="-3"/>
        </w:rPr>
        <w:t>Utama</w:t>
      </w:r>
      <w:r>
        <w:rPr>
          <w:spacing w:val="-3"/>
        </w:rPr>
        <w:tab/>
      </w:r>
      <w:r>
        <w:t>: PT. Waskita Karya (persero),</w:t>
      </w:r>
      <w:r>
        <w:rPr>
          <w:spacing w:val="-2"/>
        </w:rPr>
        <w:t xml:space="preserve"> </w:t>
      </w:r>
      <w:r>
        <w:t>tbk</w:t>
      </w:r>
    </w:p>
    <w:p w:rsidR="001B105C" w:rsidRDefault="009C00F3">
      <w:pPr>
        <w:pStyle w:val="BodyText"/>
        <w:tabs>
          <w:tab w:val="left" w:pos="2262"/>
        </w:tabs>
        <w:spacing w:line="273" w:lineRule="exact"/>
        <w:ind w:left="101"/>
      </w:pPr>
      <w:r>
        <w:t>Jumlah</w:t>
      </w:r>
      <w:r>
        <w:rPr>
          <w:spacing w:val="-1"/>
        </w:rPr>
        <w:t xml:space="preserve"> </w:t>
      </w:r>
      <w:r>
        <w:t>Anggaran</w:t>
      </w:r>
      <w:r>
        <w:tab/>
        <w:t>: Rp. 550.000.000.000,00 (550</w:t>
      </w:r>
      <w:r>
        <w:rPr>
          <w:spacing w:val="-1"/>
        </w:rPr>
        <w:t xml:space="preserve"> </w:t>
      </w:r>
      <w:r>
        <w:t>Miliar)</w:t>
      </w:r>
    </w:p>
    <w:p w:rsidR="001B105C" w:rsidRDefault="009C00F3">
      <w:pPr>
        <w:pStyle w:val="BodyText"/>
        <w:tabs>
          <w:tab w:val="left" w:pos="2262"/>
        </w:tabs>
        <w:spacing w:before="140"/>
        <w:ind w:left="101"/>
      </w:pPr>
      <w:r>
        <w:t>Lokasi</w:t>
      </w:r>
      <w:r>
        <w:tab/>
        <w:t>: Kuala Tanjung – Inderapura, Sumatera</w:t>
      </w:r>
      <w:r>
        <w:rPr>
          <w:spacing w:val="11"/>
        </w:rPr>
        <w:t xml:space="preserve"> </w:t>
      </w:r>
      <w:r>
        <w:t>Utara</w:t>
      </w:r>
    </w:p>
    <w:p w:rsidR="001B105C" w:rsidRDefault="001B105C">
      <w:pPr>
        <w:pStyle w:val="BodyText"/>
        <w:rPr>
          <w:sz w:val="26"/>
        </w:rPr>
      </w:pPr>
    </w:p>
    <w:p w:rsidR="001B105C" w:rsidRDefault="001B105C">
      <w:pPr>
        <w:pStyle w:val="BodyText"/>
        <w:spacing w:before="7"/>
        <w:rPr>
          <w:sz w:val="22"/>
        </w:rPr>
      </w:pPr>
    </w:p>
    <w:p w:rsidR="001B105C" w:rsidRDefault="009C00F3">
      <w:pPr>
        <w:pStyle w:val="Heading1"/>
      </w:pPr>
      <w:r>
        <w:t>Diagram Alir atau Flowchart Metode Analisis Pengerjaan PerbaikanTanah Lunak</w:t>
      </w:r>
    </w:p>
    <w:p w:rsidR="001B105C" w:rsidRDefault="009C00F3">
      <w:pPr>
        <w:pStyle w:val="BodyText"/>
        <w:tabs>
          <w:tab w:val="left" w:pos="4999"/>
        </w:tabs>
        <w:spacing w:before="132" w:line="362" w:lineRule="auto"/>
        <w:ind w:left="101" w:right="113"/>
      </w:pPr>
      <w:r>
        <w:t xml:space="preserve">Adapun   metode   analisis   dalam  </w:t>
      </w:r>
      <w:r>
        <w:rPr>
          <w:spacing w:val="6"/>
        </w:rPr>
        <w:t xml:space="preserve"> </w:t>
      </w:r>
      <w:r>
        <w:t xml:space="preserve">tugas  </w:t>
      </w:r>
      <w:r>
        <w:rPr>
          <w:spacing w:val="7"/>
        </w:rPr>
        <w:t xml:space="preserve"> </w:t>
      </w:r>
      <w:r>
        <w:t>akhir</w:t>
      </w:r>
      <w:r>
        <w:tab/>
        <w:t>ini dipaparkan dalam bentuk diagram alir atau flowchart seperti berikut</w:t>
      </w:r>
      <w:r>
        <w:rPr>
          <w:spacing w:val="-22"/>
        </w:rPr>
        <w:t xml:space="preserve"> </w:t>
      </w:r>
      <w:r>
        <w:t>:</w:t>
      </w:r>
    </w:p>
    <w:p w:rsidR="001B105C" w:rsidRDefault="001B105C">
      <w:pPr>
        <w:spacing w:line="362" w:lineRule="auto"/>
        <w:sectPr w:rsidR="001B105C">
          <w:pgSz w:w="11910" w:h="16840"/>
          <w:pgMar w:top="1140" w:right="740" w:bottom="280" w:left="1080" w:header="329" w:footer="0" w:gutter="0"/>
          <w:cols w:space="720"/>
        </w:sectPr>
      </w:pPr>
    </w:p>
    <w:p w:rsidR="001B105C" w:rsidRDefault="009C00F3">
      <w:pPr>
        <w:pStyle w:val="BodyText"/>
        <w:rPr>
          <w:sz w:val="20"/>
        </w:rPr>
      </w:pPr>
      <w:r>
        <w:rPr>
          <w:noProof/>
          <w:lang w:val="en-US"/>
        </w:rPr>
        <w:lastRenderedPageBreak/>
        <w:drawing>
          <wp:anchor distT="0" distB="0" distL="0" distR="0" simplePos="0" relativeHeight="15735808" behindDoc="0" locked="0" layoutInCell="1" allowOverlap="1">
            <wp:simplePos x="0" y="0"/>
            <wp:positionH relativeFrom="page">
              <wp:posOffset>3741420</wp:posOffset>
            </wp:positionH>
            <wp:positionV relativeFrom="page">
              <wp:posOffset>3685539</wp:posOffset>
            </wp:positionV>
            <wp:extent cx="76072" cy="1524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76072" cy="152400"/>
                    </a:xfrm>
                    <a:prstGeom prst="rect">
                      <a:avLst/>
                    </a:prstGeom>
                  </pic:spPr>
                </pic:pic>
              </a:graphicData>
            </a:graphic>
          </wp:anchor>
        </w:drawing>
      </w:r>
    </w:p>
    <w:p w:rsidR="001B105C" w:rsidRDefault="001B105C">
      <w:pPr>
        <w:pStyle w:val="BodyText"/>
        <w:rPr>
          <w:sz w:val="20"/>
        </w:rPr>
      </w:pPr>
    </w:p>
    <w:p w:rsidR="001B105C" w:rsidRDefault="001B105C">
      <w:pPr>
        <w:pStyle w:val="BodyText"/>
        <w:spacing w:before="1"/>
        <w:rPr>
          <w:sz w:val="12"/>
        </w:rPr>
      </w:pPr>
    </w:p>
    <w:p w:rsidR="001B105C" w:rsidRDefault="009C00F3">
      <w:pPr>
        <w:pStyle w:val="BodyText"/>
        <w:ind w:left="2409"/>
        <w:rPr>
          <w:sz w:val="20"/>
        </w:rPr>
      </w:pPr>
      <w:r>
        <w:rPr>
          <w:sz w:val="20"/>
        </w:rPr>
      </w:r>
      <w:r>
        <w:rPr>
          <w:sz w:val="20"/>
        </w:rPr>
        <w:pict>
          <v:group id="_x0000_s1075" style="width:246.1pt;height:201.1pt;mso-position-horizontal-relative:char;mso-position-vertical-relative:line" coordsize="4922,4022">
            <v:shape id="_x0000_s1092" style="position:absolute;left:1910;top:10;width:1090;height:567" coordorigin="1910,10" coordsize="1090,567" path="m2455,10r-98,5l2265,28r-85,21l2104,77r-66,34l1984,150r-65,93l1910,294r9,51l1984,437r54,39l2104,510r76,28l2265,559r92,13l2455,577r98,-5l2645,559r85,-21l2806,510r66,-34l2926,437r65,-92l3000,294r-9,-51l2926,150r-54,-39l2806,77,2730,49,2645,28,2553,15r-98,-5xe" fillcolor="#bad4eb" stroked="f">
              <v:path arrowok="t"/>
            </v:shape>
            <v:shape id="_x0000_s1091" style="position:absolute;left:1910;top:10;width:1090;height:567" coordorigin="1910,10" coordsize="1090,567" path="m1910,294r34,-99l2038,111r66,-34l2180,49r85,-21l2357,15r98,-5l2553,15r92,13l2730,49r76,28l2872,111r54,39l2991,243r9,51l2991,345r-65,92l2872,476r-66,34l2730,538r-85,21l2553,572r-98,5l2357,572r-92,-13l2180,538r-76,-28l2038,476r-54,-39l1919,345r-9,-51xe" filled="f" strokecolor="#2c528f" strokeweight="1pt">
              <v:path arrowok="t"/>
            </v:shape>
            <v:shape id="_x0000_s1090" style="position:absolute;left:752;top:794;width:3423;height:826" coordorigin="752,794" coordsize="3423,826" path="m4175,794r-2738,l752,1620r2738,l4175,794xe" fillcolor="#bad4eb" stroked="f">
              <v:path arrowok="t"/>
            </v:shape>
            <v:shape id="_x0000_s1089" style="position:absolute;left:752;top:794;width:3423;height:826" coordorigin="752,794" coordsize="3423,826" path="m752,1620l1437,794r2738,l3490,1620r-2738,xe" filled="f" strokecolor="#2c528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8" type="#_x0000_t75" style="position:absolute;left:2411;top:579;width:120;height:241">
              <v:imagedata r:id="rId13" o:title=""/>
            </v:shape>
            <v:shape id="_x0000_s1087" type="#_x0000_t75" style="position:absolute;left:2407;top:1595;width:120;height:240">
              <v:imagedata r:id="rId14" o:title=""/>
            </v:shape>
            <v:rect id="_x0000_s1086" style="position:absolute;left:10;top:1793;width:4902;height:1555" fillcolor="#bad4eb" stroked="f"/>
            <v:shape id="_x0000_s1085" style="position:absolute;left:239;top:1917;width:424;height:162" coordorigin="240,1918" coordsize="424,162" o:spt="100" adj="0,,0" path="m301,1918r-61,l240,1922r11,l255,1924r3,3l260,1930r1,6l261,2058r,5l256,2070r-4,2l240,2072r,5l307,2077r21,-2l345,2070r4,-2l300,2068r-8,-1l283,2065r,-135l291,1928r8,-1l354,1927r-1,-1l343,1922r-12,-2l317,1918r-16,xm354,1927r-48,l318,1928r12,3l340,1937r9,9l357,1956r5,12l365,1982r1,15l365,2013r-3,14l357,2039r-8,10l340,2058r-10,6l319,2067r-13,1l349,2068r11,-5l373,2052r8,-12l387,2027r4,-15l392,1996r-1,-12l389,1973r-3,-10l381,1953r-7,-13l364,1931r-10,-4xm475,1973r-24,l456,1975r6,8l464,1991r,14l452,2010r-11,5l433,2019r-7,4l419,2027r-5,5l410,2038r-2,3l407,2046r,14l409,2066r10,10l424,2079r12,l440,2078r4,-2l447,2075r6,-5l459,2065r-22,l434,2063r-4,-4l427,2056r-1,-5l426,2041r1,-4l432,2030r4,-4l442,2023r3,-2l453,2017r11,-4l482,2013r,-22l482,1986r-4,-9l475,1973r,xm483,2061r-19,l464,2068r1,4l467,2075r2,2l472,2079r11,l491,2073r7,-9l487,2064r-1,l485,2063r-1,-1l483,2061xm482,2013r-18,l464,2054r-9,7l447,2065r12,l464,2061r19,l483,2060r-1,-4l482,2051r,-38xm500,2055r-8,7l491,2063r-2,1l498,2064r2,-3l500,2055xm457,1966r-20,l427,1969r-13,11l411,1986r,11l412,1999r3,4l418,2004r5,l425,2003r2,-2l429,2000r1,-3l430,1983r1,-3l437,1975r3,-2l475,1973r-4,-2l465,1968r-8,-2xm537,1977r-19,l518,2059r1,4l521,2067r1,4l524,2073r4,2l531,2077r3,1l543,2078r5,-2l557,2069r3,-4l544,2065r-3,-1l539,2061r-2,-2l537,2055r,-78xm563,2055r-4,l558,2058r-2,3l554,2062r-3,2l549,2065r11,l561,2063r2,-8xm537,1934r-4,l530,1942r-2,5l526,1950r-3,6l519,1961r-9,8l506,1972r-4,2l502,1977r58,l560,1969r-23,l537,1934xm638,1973r-24,l619,1975r6,8l627,1991r,14l615,2010r-10,5l596,2019r-6,4l582,2027r-5,5l574,2038r-3,3l570,2046r,14l573,2066r9,10l588,2079r11,l603,2078r4,-2l610,2075r7,-5l622,2065r-21,l597,2063r-3,-4l591,2056r-2,-5l589,2041r1,-4l595,2030r5,-4l605,2023r4,-2l616,2017r11,-4l645,2013r,-22l645,1986r-4,-9l638,1973r,xm647,2061r-20,l627,2068r1,4l630,2075r3,2l635,2079r12,l655,2073r6,-9l650,2064r-1,l648,2063r-1,-1l647,2061xm645,2013r-18,l627,2054r-9,7l610,2065r12,l627,2061r20,l646,2060r,-4l645,2051r,-38xm663,2055r-8,7l654,2063r-2,1l661,2064r2,-3l663,2055xm621,1966r-21,l591,1969r-14,11l574,1986r,11l575,1999r4,4l581,2004r5,l589,2003r1,-2l592,2000r1,-3l593,1983r1,-3l600,1975r4,-2l638,1973r-4,-2l628,1968r-7,-2xe" fillcolor="black" stroked="f">
              <v:stroke joinstyle="round"/>
              <v:formulas/>
              <v:path arrowok="t" o:connecttype="segments"/>
            </v:shape>
            <v:shape id="_x0000_s1084" type="#_x0000_t75" style="position:absolute;left:765;top:1910;width:815;height:170">
              <v:imagedata r:id="rId15" o:title=""/>
            </v:shape>
            <v:shape id="_x0000_s1083" type="#_x0000_t75" style="position:absolute;left:1683;top:1910;width:710;height:170">
              <v:imagedata r:id="rId16" o:title=""/>
            </v:shape>
            <v:shape id="_x0000_s1082" type="#_x0000_t75" style="position:absolute;left:2514;top:1914;width:1162;height:167">
              <v:imagedata r:id="rId17" o:title=""/>
            </v:shape>
            <v:shape id="_x0000_s1081" type="#_x0000_t75" style="position:absolute;left:3762;top:1910;width:913;height:219">
              <v:imagedata r:id="rId18" o:title=""/>
            </v:shape>
            <v:shape id="_x0000_s1080" type="#_x0000_t75" style="position:absolute;left:2411;top:3353;width:119;height:239">
              <v:imagedata r:id="rId19" o:title=""/>
            </v:shape>
            <v:shape id="_x0000_s1079" type="#_x0000_t202" style="position:absolute;left:2230;top:173;width:475;height:266" filled="f" stroked="f">
              <v:textbox inset="0,0,0,0">
                <w:txbxContent>
                  <w:p w:rsidR="001B105C" w:rsidRDefault="009C00F3">
                    <w:pPr>
                      <w:spacing w:line="266" w:lineRule="exact"/>
                      <w:rPr>
                        <w:sz w:val="24"/>
                      </w:rPr>
                    </w:pPr>
                    <w:r>
                      <w:rPr>
                        <w:sz w:val="24"/>
                      </w:rPr>
                      <w:t>Start</w:t>
                    </w:r>
                  </w:p>
                </w:txbxContent>
              </v:textbox>
            </v:shape>
            <v:shape id="_x0000_s1078" type="#_x0000_t202" style="position:absolute;left:1615;top:874;width:1714;height:573" filled="f" stroked="f">
              <v:textbox inset="0,0,0,0">
                <w:txbxContent>
                  <w:p w:rsidR="001B105C" w:rsidRDefault="009C00F3">
                    <w:pPr>
                      <w:spacing w:line="266" w:lineRule="auto"/>
                      <w:ind w:right="11" w:firstLine="153"/>
                      <w:rPr>
                        <w:sz w:val="24"/>
                      </w:rPr>
                    </w:pPr>
                    <w:r>
                      <w:rPr>
                        <w:sz w:val="24"/>
                      </w:rPr>
                      <w:t xml:space="preserve">Studi Literatur dan </w:t>
                    </w:r>
                    <w:r>
                      <w:rPr>
                        <w:spacing w:val="-4"/>
                        <w:sz w:val="24"/>
                      </w:rPr>
                      <w:t>Pengumpulan</w:t>
                    </w:r>
                  </w:p>
                </w:txbxContent>
              </v:textbox>
            </v:shape>
            <v:shape id="_x0000_s1077" type="#_x0000_t202" style="position:absolute;left:1344;top:3580;width:2231;height:432" fillcolor="#bad4eb" strokecolor="#2c528f" strokeweight="1pt">
              <v:textbox inset="0,0,0,0">
                <w:txbxContent>
                  <w:p w:rsidR="001B105C" w:rsidRDefault="009C00F3">
                    <w:pPr>
                      <w:spacing w:before="68"/>
                      <w:ind w:left="362"/>
                    </w:pPr>
                    <w:r>
                      <w:t>Pemilihan Data</w:t>
                    </w:r>
                  </w:p>
                </w:txbxContent>
              </v:textbox>
            </v:shape>
            <v:shape id="_x0000_s1076" type="#_x0000_t202" style="position:absolute;left:10;top:1793;width:4902;height:1555" filled="f" strokecolor="#2c528f" strokeweight="1pt">
              <v:textbox inset="0,0,0,0">
                <w:txbxContent>
                  <w:p w:rsidR="001B105C" w:rsidRDefault="001B105C">
                    <w:pPr>
                      <w:rPr>
                        <w:sz w:val="26"/>
                      </w:rPr>
                    </w:pPr>
                  </w:p>
                  <w:p w:rsidR="001B105C" w:rsidRDefault="001B105C">
                    <w:pPr>
                      <w:spacing w:before="5"/>
                      <w:rPr>
                        <w:sz w:val="23"/>
                      </w:rPr>
                    </w:pPr>
                  </w:p>
                  <w:p w:rsidR="001B105C" w:rsidRDefault="009C00F3">
                    <w:pPr>
                      <w:spacing w:before="1"/>
                      <w:ind w:left="554" w:right="555"/>
                      <w:jc w:val="center"/>
                      <w:rPr>
                        <w:sz w:val="24"/>
                      </w:rPr>
                    </w:pPr>
                    <w:r>
                      <w:rPr>
                        <w:sz w:val="24"/>
                      </w:rPr>
                      <w:t>- Data pengujian tanah dilapangan</w:t>
                    </w:r>
                  </w:p>
                  <w:p w:rsidR="001B105C" w:rsidRDefault="001B105C">
                    <w:pPr>
                      <w:spacing w:before="1"/>
                      <w:rPr>
                        <w:sz w:val="23"/>
                      </w:rPr>
                    </w:pPr>
                  </w:p>
                  <w:p w:rsidR="001B105C" w:rsidRDefault="009C00F3">
                    <w:pPr>
                      <w:spacing w:before="1"/>
                      <w:ind w:left="561" w:right="555"/>
                      <w:jc w:val="center"/>
                      <w:rPr>
                        <w:sz w:val="24"/>
                      </w:rPr>
                    </w:pPr>
                    <w:r>
                      <w:rPr>
                        <w:sz w:val="24"/>
                      </w:rPr>
                      <w:t>- Data pengujian tanah di laboratorium</w:t>
                    </w:r>
                  </w:p>
                </w:txbxContent>
              </v:textbox>
            </v:shape>
            <w10:wrap type="none"/>
            <w10:anchorlock/>
          </v:group>
        </w:pict>
      </w:r>
    </w:p>
    <w:p w:rsidR="001B105C" w:rsidRDefault="009C00F3">
      <w:pPr>
        <w:pStyle w:val="BodyText"/>
        <w:spacing w:before="9"/>
        <w:rPr>
          <w:sz w:val="15"/>
        </w:rPr>
      </w:pPr>
      <w:r>
        <w:pict>
          <v:group id="_x0000_s1049" style="position:absolute;margin-left:96.25pt;margin-top:11.05pt;width:443.05pt;height:323.15pt;z-index:-15721984;mso-wrap-distance-left:0;mso-wrap-distance-right:0;mso-position-horizontal-relative:page" coordorigin="1925,221" coordsize="8861,6463">
            <v:shape id="_x0000_s1074" type="#_x0000_t75" style="position:absolute;left:5900;top:1107;width:120;height:241">
              <v:imagedata r:id="rId20" o:title=""/>
            </v:shape>
            <v:shape id="_x0000_s1073" style="position:absolute;left:4661;top:1315;width:2631;height:1018" coordorigin="4661,1315" coordsize="2631,1018" path="m6604,1315r-1310,l5294,2248r-513,l4781,2198r-120,60l4781,2318r,-50l5314,2268r,-933l6584,1335r,948l7172,2283r,50l7292,2273r-120,-60l7172,2263r-568,l6604,1315xe" fillcolor="#446fc4" stroked="f">
              <v:path arrowok="t"/>
            </v:shape>
            <v:rect id="_x0000_s1072" style="position:absolute;left:7238;top:1854;width:2745;height:873" fillcolor="#bad4eb" stroked="f"/>
            <v:shape id="_x0000_s1071" type="#_x0000_t75" style="position:absolute;left:8672;top:2668;width:120;height:241">
              <v:imagedata r:id="rId13" o:title=""/>
            </v:shape>
            <v:shape id="_x0000_s1070" type="#_x0000_t75" style="position:absolute;left:5892;top:2863;width:120;height:241">
              <v:imagedata r:id="rId21" o:title=""/>
            </v:shape>
            <v:shape id="_x0000_s1069" type="#_x0000_t75" style="position:absolute;left:3208;top:2668;width:120;height:240">
              <v:imagedata r:id="rId14" o:title=""/>
            </v:shape>
            <v:line id="_x0000_s1068" style="position:absolute" from="3276,2875" to="8728,2887" strokecolor="#006dc0" strokeweight="1pt"/>
            <v:shape id="_x0000_s1067" style="position:absolute;left:4661;top:5457;width:2589;height:445" coordorigin="4661,5457" coordsize="2589,445" path="m7176,5457r-2441,l4706,5463r-23,16l4667,5503r-6,28l4661,5828r6,29l4683,5881r23,15l4735,5902r2441,l7205,5896r23,-15l7244,5857r6,-29l7250,5531r-6,-28l7228,5479r-23,-16l7176,5457xe" fillcolor="#bad4eb" stroked="f">
              <v:path arrowok="t"/>
            </v:shape>
            <v:shape id="_x0000_s1066" style="position:absolute;left:4661;top:5457;width:2589;height:445" coordorigin="4661,5457" coordsize="2589,445" path="m4661,5531r6,-28l4683,5479r23,-16l4735,5457r2441,l7205,5463r23,16l7244,5503r6,28l7250,5828r-6,29l7228,5881r-23,15l7176,5902r-2441,l4706,5896r-23,-15l4667,5857r-6,-29l4661,5531xe" filled="f" strokecolor="#2c528f" strokeweight="1pt">
              <v:path arrowok="t"/>
            </v:shape>
            <v:shape id="_x0000_s1065" type="#_x0000_t75" style="position:absolute;left:5892;top:5200;width:120;height:241">
              <v:imagedata r:id="rId13" o:title=""/>
            </v:shape>
            <v:shape id="_x0000_s1064" style="position:absolute;left:5660;top:6150;width:572;height:524" coordorigin="5660,6150" coordsize="572,524" path="m5946,6150r-76,10l5802,6186r-58,41l5699,6280r-29,63l5660,6412r10,70l5699,6544r45,54l5802,6638r68,27l5946,6674r76,-9l6090,6638r58,-40l6193,6544r29,-62l6232,6412r-10,-69l6193,6280r-45,-53l6090,6186r-68,-26l5946,6150xe" fillcolor="#bad4eb" stroked="f">
              <v:path arrowok="t"/>
            </v:shape>
            <v:shape id="_x0000_s1063" style="position:absolute;left:5660;top:6150;width:572;height:524" coordorigin="5660,6150" coordsize="572,524" path="m5660,6412r10,-69l5699,6280r45,-53l5802,6186r68,-26l5946,6150r76,10l6090,6186r58,41l6193,6280r29,63l6232,6412r-10,70l6193,6544r-45,54l6090,6638r-68,27l5946,6674r-76,-9l5802,6638r-58,-40l5699,6544r-29,-62l5660,6412xe" filled="f" strokecolor="#2c528f" strokeweight="1pt">
              <v:path arrowok="t"/>
            </v:shape>
            <v:shape id="_x0000_s1062" type="#_x0000_t75" style="position:absolute;left:5892;top:5897;width:120;height:241">
              <v:imagedata r:id="rId22" o:title=""/>
            </v:shape>
            <v:shape id="_x0000_s1061" style="position:absolute;left:4092;top:3103;width:3720;height:2080" coordorigin="4092,3103" coordsize="3720,2080" path="m5952,3103l4092,4143,5952,5183,7812,4143,5952,3103xe" fillcolor="#bad4eb" stroked="f">
              <v:path arrowok="t"/>
            </v:shape>
            <v:shape id="_x0000_s1060" style="position:absolute;left:4092;top:3103;width:3720;height:2080" coordorigin="4092,3103" coordsize="3720,2080" path="m4092,4143l5952,3103,7812,4143,5952,5183,4092,4143xe" filled="f" strokecolor="#2c528f" strokeweight="1pt">
              <v:path arrowok="t"/>
            </v:shape>
            <v:line id="_x0000_s1059" style="position:absolute" from="7812,4135" to="10752,4135" strokecolor="#006dc0" strokeweight="1pt"/>
            <v:shape id="_x0000_s1058" style="position:absolute;left:7320;top:587;width:956;height:120" coordorigin="7320,587" coordsize="956,120" o:spt="100" adj="0,,0" path="m7440,587r-120,60l7440,707r,-50l7420,657r,-20l7440,637r,-50xm7788,647r,11l8276,658r,-1l7798,657r-10,-10xm7440,637r-20,l7420,657r20,l7440,637xm7808,637r-368,l7440,657r348,l7788,647r19,l7798,638r10,l7808,637xm7807,647r-19,l7798,657r478,l8276,648r-468,l7807,647xm7808,638r-10,l7808,648r,-10xm8276,638r-468,l7808,648r468,l8276,638xe" fillcolor="#446fc4" stroked="f">
              <v:stroke joinstyle="round"/>
              <v:formulas/>
              <v:path arrowok="t" o:connecttype="segments"/>
            </v:shape>
            <v:shape id="_x0000_s1057" style="position:absolute;left:8112;top:647;width:2664;height:3488" coordorigin="8112,647" coordsize="2664,3488" o:spt="100" adj="0,,0" path="m8112,647r2628,m10740,647r36,3488e" filled="f" strokecolor="#006dc0" strokeweight="1pt">
              <v:stroke joinstyle="round"/>
              <v:formulas/>
              <v:path arrowok="t" o:connecttype="segments"/>
            </v:shape>
            <v:shape id="_x0000_s1056" type="#_x0000_t75" style="position:absolute;left:5901;top:6364;width:168;height:163">
              <v:imagedata r:id="rId23" o:title=""/>
            </v:shape>
            <v:shape id="_x0000_s1055" type="#_x0000_t202" style="position:absolute;left:5402;top:3709;width:1119;height:890" filled="f" stroked="f">
              <v:textbox inset="0,0,0,0">
                <w:txbxContent>
                  <w:p w:rsidR="001B105C" w:rsidRDefault="009C00F3">
                    <w:pPr>
                      <w:spacing w:line="271" w:lineRule="auto"/>
                      <w:ind w:right="3" w:firstLine="33"/>
                      <w:rPr>
                        <w:sz w:val="24"/>
                      </w:rPr>
                    </w:pPr>
                    <w:r>
                      <w:rPr>
                        <w:sz w:val="24"/>
                      </w:rPr>
                      <w:t xml:space="preserve">Memenuhi </w:t>
                    </w:r>
                    <w:r>
                      <w:rPr>
                        <w:spacing w:val="-1"/>
                        <w:sz w:val="24"/>
                      </w:rPr>
                      <w:t>persyaratan</w:t>
                    </w:r>
                  </w:p>
                  <w:p w:rsidR="001B105C" w:rsidRDefault="009C00F3">
                    <w:pPr>
                      <w:ind w:left="28"/>
                      <w:rPr>
                        <w:sz w:val="24"/>
                      </w:rPr>
                    </w:pPr>
                    <w:r>
                      <w:rPr>
                        <w:sz w:val="24"/>
                      </w:rPr>
                      <w:t>pemakaian</w:t>
                    </w:r>
                  </w:p>
                </w:txbxContent>
              </v:textbox>
            </v:shape>
            <v:shape id="_x0000_s1054" type="#_x0000_t202" style="position:absolute;left:7712;top:3666;width:577;height:266" filled="f" stroked="f">
              <v:textbox inset="0,0,0,0">
                <w:txbxContent>
                  <w:p w:rsidR="001B105C" w:rsidRDefault="009C00F3">
                    <w:pPr>
                      <w:spacing w:line="266" w:lineRule="exact"/>
                      <w:rPr>
                        <w:sz w:val="24"/>
                      </w:rPr>
                    </w:pPr>
                    <w:r>
                      <w:rPr>
                        <w:sz w:val="24"/>
                      </w:rPr>
                      <w:t>Tidak</w:t>
                    </w:r>
                  </w:p>
                </w:txbxContent>
              </v:textbox>
            </v:shape>
            <v:shape id="_x0000_s1053" type="#_x0000_t202" style="position:absolute;left:5013;top:5044;width:1897;height:780" filled="f" stroked="f">
              <v:textbox inset="0,0,0,0">
                <w:txbxContent>
                  <w:p w:rsidR="001B105C" w:rsidRDefault="009C00F3">
                    <w:pPr>
                      <w:spacing w:line="266" w:lineRule="exact"/>
                      <w:ind w:right="160"/>
                      <w:jc w:val="right"/>
                      <w:rPr>
                        <w:sz w:val="24"/>
                      </w:rPr>
                    </w:pPr>
                    <w:r>
                      <w:rPr>
                        <w:w w:val="95"/>
                        <w:sz w:val="24"/>
                      </w:rPr>
                      <w:t>Ya</w:t>
                    </w:r>
                  </w:p>
                  <w:p w:rsidR="001B105C" w:rsidRDefault="001B105C">
                    <w:pPr>
                      <w:spacing w:before="7"/>
                      <w:rPr>
                        <w:sz w:val="20"/>
                      </w:rPr>
                    </w:pPr>
                  </w:p>
                  <w:p w:rsidR="001B105C" w:rsidRDefault="009C00F3">
                    <w:pPr>
                      <w:rPr>
                        <w:sz w:val="24"/>
                      </w:rPr>
                    </w:pPr>
                    <w:r>
                      <w:rPr>
                        <w:spacing w:val="-3"/>
                        <w:sz w:val="24"/>
                      </w:rPr>
                      <w:t xml:space="preserve">Analisa </w:t>
                    </w:r>
                    <w:r>
                      <w:rPr>
                        <w:sz w:val="24"/>
                      </w:rPr>
                      <w:t>Data Tanah</w:t>
                    </w:r>
                  </w:p>
                </w:txbxContent>
              </v:textbox>
            </v:shape>
            <v:shape id="_x0000_s1052" type="#_x0000_t202" style="position:absolute;left:1935;top:1841;width:2745;height:873" fillcolor="#bad4eb" strokecolor="#2c528f" strokeweight="1pt">
              <v:textbox inset="0,0,0,0">
                <w:txbxContent>
                  <w:p w:rsidR="001B105C" w:rsidRDefault="009C00F3">
                    <w:pPr>
                      <w:spacing w:before="62" w:line="295" w:lineRule="auto"/>
                      <w:ind w:left="196" w:firstLine="100"/>
                      <w:rPr>
                        <w:sz w:val="24"/>
                      </w:rPr>
                    </w:pPr>
                    <w:r>
                      <w:rPr>
                        <w:sz w:val="24"/>
                      </w:rPr>
                      <w:t>Perhitungan besar dan waktu konsolidasi alami</w:t>
                    </w:r>
                  </w:p>
                </w:txbxContent>
              </v:textbox>
            </v:shape>
            <v:shape id="_x0000_s1051" type="#_x0000_t202" style="position:absolute;left:7238;top:1854;width:2745;height:873" filled="f" strokecolor="#2c528f" strokeweight="1pt">
              <v:textbox inset="0,0,0,0">
                <w:txbxContent>
                  <w:p w:rsidR="001B105C" w:rsidRDefault="009C00F3">
                    <w:pPr>
                      <w:spacing w:before="59" w:line="288" w:lineRule="auto"/>
                      <w:ind w:left="430" w:hanging="164"/>
                      <w:rPr>
                        <w:sz w:val="24"/>
                      </w:rPr>
                    </w:pPr>
                    <w:r>
                      <w:rPr>
                        <w:sz w:val="24"/>
                      </w:rPr>
                      <w:t>Perhitungan beban dan settlement pertahun</w:t>
                    </w:r>
                  </w:p>
                </w:txbxContent>
              </v:textbox>
            </v:shape>
            <v:shape id="_x0000_s1050" type="#_x0000_t202" style="position:absolute;left:4575;top:231;width:2745;height:873" fillcolor="#bad4eb" strokecolor="#2c528f" strokeweight="1pt">
              <v:textbox inset="0,0,0,0">
                <w:txbxContent>
                  <w:p w:rsidR="001B105C" w:rsidRDefault="009C00F3">
                    <w:pPr>
                      <w:spacing w:before="54" w:line="295" w:lineRule="auto"/>
                      <w:ind w:left="408" w:hanging="221"/>
                      <w:rPr>
                        <w:sz w:val="24"/>
                      </w:rPr>
                    </w:pPr>
                    <w:r>
                      <w:rPr>
                        <w:sz w:val="24"/>
                      </w:rPr>
                      <w:t>Perhitungan pembuktian diperlukannya PVD</w:t>
                    </w:r>
                  </w:p>
                </w:txbxContent>
              </v:textbox>
            </v:shape>
            <w10:wrap type="topAndBottom" anchorx="page"/>
          </v:group>
        </w:pict>
      </w:r>
    </w:p>
    <w:p w:rsidR="001B105C" w:rsidRDefault="001B105C">
      <w:pPr>
        <w:rPr>
          <w:sz w:val="15"/>
        </w:rPr>
        <w:sectPr w:rsidR="001B105C">
          <w:pgSz w:w="11910" w:h="16840"/>
          <w:pgMar w:top="1140" w:right="740" w:bottom="280" w:left="1080" w:header="329" w:footer="0" w:gutter="0"/>
          <w:cols w:space="720"/>
        </w:sectPr>
      </w:pPr>
    </w:p>
    <w:p w:rsidR="001B105C" w:rsidRDefault="001B105C">
      <w:pPr>
        <w:pStyle w:val="BodyText"/>
        <w:rPr>
          <w:sz w:val="20"/>
        </w:rPr>
      </w:pPr>
    </w:p>
    <w:p w:rsidR="001B105C" w:rsidRDefault="001B105C">
      <w:pPr>
        <w:pStyle w:val="BodyText"/>
        <w:rPr>
          <w:sz w:val="20"/>
        </w:rPr>
      </w:pPr>
    </w:p>
    <w:p w:rsidR="001B105C" w:rsidRDefault="001B105C">
      <w:pPr>
        <w:pStyle w:val="BodyText"/>
        <w:rPr>
          <w:sz w:val="20"/>
        </w:rPr>
      </w:pPr>
    </w:p>
    <w:p w:rsidR="001B105C" w:rsidRDefault="001B105C">
      <w:pPr>
        <w:pStyle w:val="BodyText"/>
        <w:spacing w:before="1"/>
        <w:rPr>
          <w:sz w:val="16"/>
        </w:rPr>
      </w:pPr>
    </w:p>
    <w:p w:rsidR="001B105C" w:rsidRDefault="009C00F3">
      <w:pPr>
        <w:pStyle w:val="BodyText"/>
        <w:ind w:left="104"/>
        <w:rPr>
          <w:sz w:val="20"/>
        </w:rPr>
      </w:pPr>
      <w:r>
        <w:rPr>
          <w:sz w:val="20"/>
        </w:rPr>
      </w:r>
      <w:r>
        <w:rPr>
          <w:sz w:val="20"/>
        </w:rPr>
        <w:pict>
          <v:group id="_x0000_s1027" style="width:461.6pt;height:440.8pt;mso-position-horizontal-relative:char;mso-position-vertical-relative:line" coordsize="9232,8816">
            <v:shape id="_x0000_s1048" style="position:absolute;left:4381;top:10;width:572;height:524" coordorigin="4381,10" coordsize="572,524" path="m4667,10r-76,9l4523,46r-58,41l4420,140r-29,62l4381,272r10,70l4420,404r45,53l4523,498r68,27l4667,534r76,-9l4811,498r58,-41l4914,404r29,-62l4953,272r-10,-70l4914,140,4869,87,4811,46,4743,19r-76,-9xe" fillcolor="#bad4eb" stroked="f">
              <v:path arrowok="t"/>
            </v:shape>
            <v:shape id="_x0000_s1047" style="position:absolute;left:4381;top:10;width:572;height:524" coordorigin="4381,10" coordsize="572,524" path="m4381,272r10,-70l4420,140r45,-53l4523,46r68,-27l4667,10r76,9l4811,46r58,41l4914,140r29,62l4953,272r-10,70l4914,404r-45,53l4811,498r-68,27l4667,534r-76,-9l4523,498r-58,-41l4420,404r-29,-62l4381,272xe" filled="f" strokecolor="#2c528f" strokeweight="1pt">
              <v:path arrowok="t"/>
            </v:shape>
            <v:shape id="_x0000_s1046" style="position:absolute;left:4623;top:542;width:120;height:421" coordorigin="4623,542" coordsize="120,421" o:spt="100" adj="0,,0" path="m4673,843r-50,l4683,963r50,-100l4673,863r,-20xm4693,542r-20,l4673,863r20,l4693,542xm4743,843r-50,l4693,863r40,l4743,843xe" fillcolor="#446fc4" stroked="f">
              <v:stroke joinstyle="round"/>
              <v:formulas/>
              <v:path arrowok="t" o:connecttype="segments"/>
            </v:shape>
            <v:shape id="_x0000_s1045" type="#_x0000_t75" style="position:absolute;left:4620;top:1013;width:120;height:241">
              <v:imagedata r:id="rId20" o:title=""/>
            </v:shape>
            <v:shape id="_x0000_s1044" type="#_x0000_t75" style="position:absolute;left:7763;top:976;width:120;height:241">
              <v:imagedata r:id="rId20" o:title=""/>
            </v:shape>
            <v:shape id="_x0000_s1043" type="#_x0000_t75" style="position:absolute;left:1344;top:1012;width:120;height:241">
              <v:imagedata r:id="rId20" o:title=""/>
            </v:shape>
            <v:line id="_x0000_s1042" style="position:absolute" from="1425,1013" to="7856,1013" strokecolor="#006dc0" strokeweight="1pt"/>
            <v:rect id="_x0000_s1041" style="position:absolute;left:10;top:1259;width:2745;height:873" fillcolor="#bad4eb" stroked="f"/>
            <v:shape id="_x0000_s1040" style="position:absolute;left:1343;top:1842;width:6553;height:3254" coordorigin="1343,1842" coordsize="6553,3254" o:spt="100" adj="0,,0" path="m1463,4976r-120,l1403,5096r60,-120xm1414,2124r-20,l1394,3600r-1,l1393,4976r20,l1413,3620r1,l1414,2124xm4731,4076r-120,l4671,4196r60,-120xm4681,3775r-20,l4661,4076r20,l4681,3775xm4731,3165r-120,l4671,3285r60,-120xm4681,2864r-20,l4661,3165r20,l4681,2864xm4735,2143r-120,l4675,2263r60,-120xm4685,1842r-20,l4665,2143r20,l4685,1842xm4746,4969r-120,l4686,5089r60,-120xm4696,4668r-20,l4676,4969r20,l4696,4668xm7896,4976r-120,l7836,5096r60,-120xm7847,2062r-20,l7827,3569r-1,l7826,4976r20,l7846,3589r1,l7847,2062xe" fillcolor="#446fc4" stroked="f">
              <v:stroke joinstyle="round"/>
              <v:formulas/>
              <v:path arrowok="t" o:connecttype="segments"/>
            </v:shape>
            <v:line id="_x0000_s1039" style="position:absolute" from="1391,5097" to="7859,5097" strokecolor="#006dc0" strokeweight="1pt"/>
            <v:shape id="_x0000_s1038" type="#_x0000_t75" style="position:absolute;left:4621;top:215;width:168;height:163">
              <v:imagedata r:id="rId24" o:title=""/>
            </v:shape>
            <v:shape id="_x0000_s1037" type="#_x0000_t75" style="position:absolute;left:2834;top:5112;width:2733;height:3704">
              <v:imagedata r:id="rId25" o:title=""/>
            </v:shape>
            <v:shape id="_x0000_s1036" type="#_x0000_t202" style="position:absolute;left:3330;top:5614;width:1764;height:266" filled="f" stroked="f">
              <v:textbox inset="0,0,0,0">
                <w:txbxContent>
                  <w:p w:rsidR="001B105C" w:rsidRDefault="009C00F3">
                    <w:pPr>
                      <w:spacing w:line="266" w:lineRule="exact"/>
                      <w:rPr>
                        <w:sz w:val="24"/>
                      </w:rPr>
                    </w:pPr>
                    <w:r>
                      <w:rPr>
                        <w:sz w:val="24"/>
                      </w:rPr>
                      <w:t>Perencanaan PHD</w:t>
                    </w:r>
                  </w:p>
                </w:txbxContent>
              </v:textbox>
            </v:shape>
            <v:shape id="_x0000_s1035" type="#_x0000_t202" style="position:absolute;left:3614;top:7366;width:1181;height:266" filled="f" stroked="f">
              <v:textbox inset="0,0,0,0">
                <w:txbxContent>
                  <w:p w:rsidR="001B105C" w:rsidRDefault="009C00F3">
                    <w:pPr>
                      <w:spacing w:line="266" w:lineRule="exact"/>
                      <w:rPr>
                        <w:sz w:val="24"/>
                      </w:rPr>
                    </w:pPr>
                    <w:r>
                      <w:rPr>
                        <w:sz w:val="24"/>
                      </w:rPr>
                      <w:t>Kesimpulan</w:t>
                    </w:r>
                  </w:p>
                </w:txbxContent>
              </v:textbox>
            </v:shape>
            <v:shape id="_x0000_s1034" type="#_x0000_t202" style="position:absolute;left:3892;top:8360;width:620;height:266" filled="f" stroked="f">
              <v:textbox inset="0,0,0,0">
                <w:txbxContent>
                  <w:p w:rsidR="001B105C" w:rsidRDefault="009C00F3">
                    <w:pPr>
                      <w:spacing w:line="266" w:lineRule="exact"/>
                      <w:rPr>
                        <w:sz w:val="24"/>
                      </w:rPr>
                    </w:pPr>
                    <w:r>
                      <w:rPr>
                        <w:sz w:val="24"/>
                      </w:rPr>
                      <w:t>Finish</w:t>
                    </w:r>
                  </w:p>
                </w:txbxContent>
              </v:textbox>
            </v:shape>
            <v:shape id="_x0000_s1033" type="#_x0000_t202" style="position:absolute;left:3339;top:4176;width:2698;height:483" fillcolor="#bad4eb" strokecolor="#2c528f" strokeweight="1pt">
              <v:textbox inset="0,0,0,0">
                <w:txbxContent>
                  <w:p w:rsidR="001B105C" w:rsidRDefault="009C00F3">
                    <w:pPr>
                      <w:spacing w:before="68"/>
                      <w:ind w:left="524"/>
                      <w:rPr>
                        <w:sz w:val="24"/>
                      </w:rPr>
                    </w:pPr>
                    <w:r>
                      <w:rPr>
                        <w:sz w:val="24"/>
                      </w:rPr>
                      <w:t>Kedalaman PVD</w:t>
                    </w:r>
                  </w:p>
                </w:txbxContent>
              </v:textbox>
            </v:shape>
            <v:shape id="_x0000_s1032" type="#_x0000_t202" style="position:absolute;left:3306;top:3280;width:2698;height:483" fillcolor="#bad4eb" strokecolor="#2c528f" strokeweight="1pt">
              <v:textbox inset="0,0,0,0">
                <w:txbxContent>
                  <w:p w:rsidR="001B105C" w:rsidRDefault="009C00F3">
                    <w:pPr>
                      <w:spacing w:before="62"/>
                      <w:ind w:left="216"/>
                      <w:rPr>
                        <w:sz w:val="24"/>
                      </w:rPr>
                    </w:pPr>
                    <w:r>
                      <w:rPr>
                        <w:sz w:val="24"/>
                      </w:rPr>
                      <w:t>Perhitungan jarak PVD</w:t>
                    </w:r>
                  </w:p>
                </w:txbxContent>
              </v:textbox>
            </v:shape>
            <v:shape id="_x0000_s1031" type="#_x0000_t202" style="position:absolute;left:3416;top:2285;width:2537;height:544" fillcolor="#bad4eb" strokecolor="#2c528f" strokeweight="1pt">
              <v:textbox inset="0,0,0,0">
                <w:txbxContent>
                  <w:p w:rsidR="001B105C" w:rsidRDefault="009C00F3">
                    <w:pPr>
                      <w:spacing w:before="68"/>
                      <w:ind w:left="510"/>
                      <w:rPr>
                        <w:sz w:val="24"/>
                      </w:rPr>
                    </w:pPr>
                    <w:r>
                      <w:rPr>
                        <w:sz w:val="24"/>
                      </w:rPr>
                      <w:t>Pola Segiempat</w:t>
                    </w:r>
                  </w:p>
                </w:txbxContent>
              </v:textbox>
            </v:shape>
            <v:shape id="_x0000_s1030" type="#_x0000_t202" style="position:absolute;left:3401;top:1258;width:2537;height:544" fillcolor="#bad4eb" strokecolor="#2c528f" strokeweight="1pt">
              <v:textbox inset="0,0,0,0">
                <w:txbxContent>
                  <w:p w:rsidR="001B105C" w:rsidRDefault="009C00F3">
                    <w:pPr>
                      <w:spacing w:before="62"/>
                      <w:ind w:left="381"/>
                      <w:rPr>
                        <w:sz w:val="24"/>
                      </w:rPr>
                    </w:pPr>
                    <w:r>
                      <w:rPr>
                        <w:sz w:val="24"/>
                      </w:rPr>
                      <w:t>Perencanaan PVD</w:t>
                    </w:r>
                  </w:p>
                </w:txbxContent>
              </v:textbox>
            </v:shape>
            <v:shape id="_x0000_s1029" type="#_x0000_t202" style="position:absolute;left:10;top:1259;width:2745;height:873" filled="f" strokecolor="#2c528f" strokeweight="1pt">
              <v:textbox inset="0,0,0,0">
                <w:txbxContent>
                  <w:p w:rsidR="001B105C" w:rsidRDefault="009C00F3">
                    <w:pPr>
                      <w:spacing w:before="52"/>
                      <w:ind w:left="171" w:right="186"/>
                      <w:jc w:val="center"/>
                      <w:rPr>
                        <w:sz w:val="24"/>
                      </w:rPr>
                    </w:pPr>
                    <w:r>
                      <w:rPr>
                        <w:sz w:val="24"/>
                      </w:rPr>
                      <w:t>Perhitungan beban dan</w:t>
                    </w:r>
                  </w:p>
                  <w:p w:rsidR="001B105C" w:rsidRDefault="009C00F3">
                    <w:pPr>
                      <w:spacing w:before="60"/>
                      <w:ind w:left="185" w:right="185"/>
                      <w:jc w:val="center"/>
                      <w:rPr>
                        <w:sz w:val="24"/>
                      </w:rPr>
                    </w:pPr>
                    <w:r>
                      <w:rPr>
                        <w:sz w:val="24"/>
                      </w:rPr>
                      <w:t>settlement</w:t>
                    </w:r>
                  </w:p>
                </w:txbxContent>
              </v:textbox>
            </v:shape>
            <v:shape id="_x0000_s1028" type="#_x0000_t202" style="position:absolute;left:6477;top:1217;width:2745;height:873" fillcolor="#bad4eb" strokecolor="#2c528f" strokeweight="1pt">
              <v:textbox inset="0,0,0,0">
                <w:txbxContent>
                  <w:p w:rsidR="001B105C" w:rsidRDefault="009C00F3">
                    <w:pPr>
                      <w:spacing w:before="55"/>
                      <w:ind w:left="185" w:right="186"/>
                      <w:jc w:val="center"/>
                      <w:rPr>
                        <w:sz w:val="24"/>
                      </w:rPr>
                    </w:pPr>
                    <w:r>
                      <w:rPr>
                        <w:sz w:val="24"/>
                      </w:rPr>
                      <w:t>Perencanaan Preloading</w:t>
                    </w:r>
                  </w:p>
                  <w:p w:rsidR="001B105C" w:rsidRDefault="009C00F3">
                    <w:pPr>
                      <w:spacing w:before="61"/>
                      <w:ind w:left="185" w:right="185"/>
                      <w:jc w:val="center"/>
                      <w:rPr>
                        <w:sz w:val="24"/>
                      </w:rPr>
                    </w:pPr>
                    <w:r>
                      <w:rPr>
                        <w:sz w:val="24"/>
                      </w:rPr>
                      <w:t>Kombinasi PVD</w:t>
                    </w:r>
                  </w:p>
                </w:txbxContent>
              </v:textbox>
            </v:shape>
            <w10:wrap type="none"/>
            <w10:anchorlock/>
          </v:group>
        </w:pict>
      </w:r>
    </w:p>
    <w:p w:rsidR="001B105C" w:rsidRDefault="001B105C">
      <w:pPr>
        <w:pStyle w:val="BodyText"/>
        <w:spacing w:before="7"/>
        <w:rPr>
          <w:sz w:val="25"/>
        </w:rPr>
      </w:pPr>
    </w:p>
    <w:p w:rsidR="001B105C" w:rsidRDefault="009C00F3">
      <w:pPr>
        <w:pStyle w:val="BodyText"/>
        <w:spacing w:before="90" w:line="362" w:lineRule="auto"/>
        <w:ind w:left="3343" w:right="2180" w:hanging="1715"/>
      </w:pPr>
      <w:r>
        <w:t>Gambar 3.3 Diagram Alir atau Flowchart Metode Analisis Sumber : Data Pribadi</w:t>
      </w:r>
    </w:p>
    <w:p w:rsidR="001B105C" w:rsidRDefault="001B105C">
      <w:pPr>
        <w:spacing w:line="362" w:lineRule="auto"/>
        <w:sectPr w:rsidR="001B105C">
          <w:pgSz w:w="11920" w:h="16850"/>
          <w:pgMar w:top="1660" w:right="820" w:bottom="280" w:left="1660" w:header="329" w:footer="0" w:gutter="0"/>
          <w:cols w:space="720"/>
        </w:sectPr>
      </w:pPr>
    </w:p>
    <w:p w:rsidR="001B105C" w:rsidRDefault="009C00F3">
      <w:pPr>
        <w:pStyle w:val="Heading1"/>
        <w:numPr>
          <w:ilvl w:val="0"/>
          <w:numId w:val="1"/>
        </w:numPr>
        <w:tabs>
          <w:tab w:val="left" w:pos="567"/>
        </w:tabs>
        <w:spacing w:before="100" w:line="441" w:lineRule="auto"/>
        <w:ind w:left="566" w:right="6719"/>
        <w:jc w:val="left"/>
      </w:pPr>
      <w:bookmarkStart w:id="4" w:name="4._ANALISIS_PERENCANAAN"/>
      <w:bookmarkEnd w:id="4"/>
      <w:r>
        <w:lastRenderedPageBreak/>
        <w:t>ANALISIS</w:t>
      </w:r>
      <w:r>
        <w:rPr>
          <w:spacing w:val="-11"/>
        </w:rPr>
        <w:t xml:space="preserve"> </w:t>
      </w:r>
      <w:r>
        <w:t>PERENCANAAN</w:t>
      </w:r>
      <w:bookmarkStart w:id="5" w:name="Hasil_Pengumpulan_Data"/>
      <w:bookmarkEnd w:id="5"/>
      <w:r>
        <w:t xml:space="preserve"> Hasil Pengumpulan Data</w:t>
      </w:r>
      <w:bookmarkStart w:id="6" w:name="Data_Tanah_Dasar"/>
      <w:bookmarkEnd w:id="6"/>
      <w:r>
        <w:t xml:space="preserve"> Data Tanah Dasar</w:t>
      </w:r>
    </w:p>
    <w:p w:rsidR="001B105C" w:rsidRDefault="009C00F3">
      <w:pPr>
        <w:pStyle w:val="BodyText"/>
        <w:spacing w:line="360" w:lineRule="auto"/>
        <w:ind w:left="566"/>
      </w:pPr>
      <w:bookmarkStart w:id="7" w:name="Data_tanah_dasar_merupakan_data_sekunder"/>
      <w:bookmarkEnd w:id="7"/>
      <w:r>
        <w:t>Data tanah dasar merupakan data sekunder dari hasil percobaan s</w:t>
      </w:r>
      <w:r>
        <w:t>ondir S-03, S-07, S- 13, SPT dan laboratorium bersadarkan sampel tanah yang diambil dari titik bor BH - 08.</w:t>
      </w:r>
    </w:p>
    <w:p w:rsidR="001B105C" w:rsidRDefault="009C00F3">
      <w:pPr>
        <w:pStyle w:val="BodyText"/>
        <w:spacing w:before="83"/>
        <w:ind w:left="2531"/>
      </w:pPr>
      <w:bookmarkStart w:id="8" w:name="Layout_lokasi_pekerjaan_dapat_dilihat_pa"/>
      <w:bookmarkEnd w:id="8"/>
      <w:r>
        <w:t>Layout lokasi pekerjaan dapat dilihat pada (Gambar 4.1.1)</w:t>
      </w:r>
    </w:p>
    <w:p w:rsidR="001B105C" w:rsidRDefault="009C00F3">
      <w:pPr>
        <w:pStyle w:val="BodyText"/>
        <w:spacing w:before="9"/>
        <w:rPr>
          <w:sz w:val="21"/>
        </w:rPr>
      </w:pPr>
      <w:r>
        <w:rPr>
          <w:noProof/>
          <w:lang w:val="en-US"/>
        </w:rPr>
        <w:drawing>
          <wp:anchor distT="0" distB="0" distL="0" distR="0" simplePos="0" relativeHeight="25" behindDoc="0" locked="0" layoutInCell="1" allowOverlap="1">
            <wp:simplePos x="0" y="0"/>
            <wp:positionH relativeFrom="page">
              <wp:posOffset>1440180</wp:posOffset>
            </wp:positionH>
            <wp:positionV relativeFrom="paragraph">
              <wp:posOffset>184010</wp:posOffset>
            </wp:positionV>
            <wp:extent cx="5076057" cy="2564892"/>
            <wp:effectExtent l="0" t="0" r="0" b="0"/>
            <wp:wrapTopAndBottom/>
            <wp:docPr id="1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jpeg"/>
                    <pic:cNvPicPr/>
                  </pic:nvPicPr>
                  <pic:blipFill>
                    <a:blip r:embed="rId26" cstate="print"/>
                    <a:stretch>
                      <a:fillRect/>
                    </a:stretch>
                  </pic:blipFill>
                  <pic:spPr>
                    <a:xfrm>
                      <a:off x="0" y="0"/>
                      <a:ext cx="5076057" cy="2564892"/>
                    </a:xfrm>
                    <a:prstGeom prst="rect">
                      <a:avLst/>
                    </a:prstGeom>
                  </pic:spPr>
                </pic:pic>
              </a:graphicData>
            </a:graphic>
          </wp:anchor>
        </w:drawing>
      </w:r>
    </w:p>
    <w:p w:rsidR="001B105C" w:rsidRDefault="009C00F3">
      <w:pPr>
        <w:spacing w:before="133" w:line="360" w:lineRule="auto"/>
        <w:ind w:left="3366" w:right="2926" w:hanging="831"/>
      </w:pPr>
      <w:r>
        <w:rPr>
          <w:spacing w:val="-3"/>
        </w:rPr>
        <w:t xml:space="preserve">Gambar 4.1Lokasi </w:t>
      </w:r>
      <w:r>
        <w:t>pengerjaan penyelidikan tanah dasar Sumber: PT. Geostructure Dynamics</w:t>
      </w:r>
    </w:p>
    <w:p w:rsidR="001B105C" w:rsidRDefault="001B105C">
      <w:pPr>
        <w:pStyle w:val="BodyText"/>
        <w:spacing w:before="9"/>
        <w:rPr>
          <w:sz w:val="26"/>
        </w:rPr>
      </w:pPr>
    </w:p>
    <w:p w:rsidR="001B105C" w:rsidRDefault="009C00F3">
      <w:pPr>
        <w:pStyle w:val="Heading1"/>
        <w:jc w:val="both"/>
      </w:pPr>
      <w:bookmarkStart w:id="9" w:name="Analisis_Klasifikasi_Tanah,_Tingkat_Keke"/>
      <w:bookmarkEnd w:id="9"/>
      <w:r>
        <w:rPr>
          <w:color w:val="233E5F"/>
        </w:rPr>
        <w:t>Analisis Klasifikasi Tanah, Tingkat Kekerasan dan Kepadatan Tanah</w:t>
      </w:r>
    </w:p>
    <w:p w:rsidR="001B105C" w:rsidRDefault="009C00F3">
      <w:pPr>
        <w:pStyle w:val="BodyText"/>
        <w:spacing w:before="170" w:line="360" w:lineRule="auto"/>
        <w:ind w:left="101" w:right="354"/>
        <w:jc w:val="both"/>
      </w:pPr>
      <w:bookmarkStart w:id="10" w:name="Klasifikasi_tanah_dan_konsistensi_tanah_"/>
      <w:bookmarkEnd w:id="10"/>
      <w:r>
        <w:rPr>
          <w:color w:val="233E5F"/>
        </w:rPr>
        <w:t>Klasifikasi tanah dan konsistensi tanah dilakukan berdasarkan nilai SPT dan diverifikasi berdasarkan data penyelidikan tanah laboratorium.</w:t>
      </w:r>
    </w:p>
    <w:p w:rsidR="001B105C" w:rsidRDefault="009C00F3">
      <w:pPr>
        <w:pStyle w:val="BodyText"/>
        <w:spacing w:before="42" w:line="360" w:lineRule="auto"/>
        <w:ind w:left="101" w:right="356"/>
        <w:jc w:val="both"/>
      </w:pPr>
      <w:bookmarkStart w:id="11" w:name="Hasil_analisis_klasifikasi_dan_konsisten"/>
      <w:bookmarkEnd w:id="11"/>
      <w:r>
        <w:rPr>
          <w:color w:val="233E5F"/>
        </w:rPr>
        <w:t>Hasil analisis klasifikasi dan konsistensi tanah di</w:t>
      </w:r>
      <w:r>
        <w:rPr>
          <w:color w:val="233E5F"/>
        </w:rPr>
        <w:t>kelompokkan menjadi1 kelompok. Pengelompokkan dilakukan pada area tanah dengan klasifikasi dan konsistensi yang sama untuk keperluan desain dan perencanaan yang efektif dan efisien. Data klasifikasi dan konsistensi tanah setiap kelompk dapat dilihat pada t</w:t>
      </w:r>
      <w:r>
        <w:rPr>
          <w:color w:val="233E5F"/>
        </w:rPr>
        <w:t>abel berikut.</w:t>
      </w:r>
    </w:p>
    <w:p w:rsidR="001B105C" w:rsidRDefault="001B105C">
      <w:pPr>
        <w:spacing w:line="360" w:lineRule="auto"/>
        <w:jc w:val="both"/>
        <w:sectPr w:rsidR="001B105C">
          <w:headerReference w:type="default" r:id="rId27"/>
          <w:pgSz w:w="11910" w:h="16840"/>
          <w:pgMar w:top="1160" w:right="500" w:bottom="280" w:left="1080" w:header="318" w:footer="0" w:gutter="0"/>
          <w:cols w:space="720"/>
        </w:sectPr>
      </w:pPr>
    </w:p>
    <w:p w:rsidR="001B105C" w:rsidRDefault="009C00F3">
      <w:pPr>
        <w:pStyle w:val="BodyText"/>
        <w:spacing w:before="4" w:line="360" w:lineRule="auto"/>
        <w:ind w:left="3578" w:right="2457" w:hanging="1311"/>
      </w:pPr>
      <w:r>
        <w:lastRenderedPageBreak/>
        <w:t>Tabel 4.2 Tabel Klasifikasi dan Konsistensi Tanah Desain berdasarkan hasil data borelog</w:t>
      </w:r>
    </w:p>
    <w:p w:rsidR="001B105C" w:rsidRDefault="001B105C">
      <w:pPr>
        <w:pStyle w:val="BodyText"/>
        <w:spacing w:before="10"/>
        <w:rPr>
          <w:sz w:val="13"/>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392"/>
        <w:gridCol w:w="1426"/>
        <w:gridCol w:w="1258"/>
        <w:gridCol w:w="1244"/>
        <w:gridCol w:w="912"/>
        <w:gridCol w:w="1868"/>
      </w:tblGrid>
      <w:tr w:rsidR="001B105C">
        <w:trPr>
          <w:trHeight w:val="820"/>
        </w:trPr>
        <w:tc>
          <w:tcPr>
            <w:tcW w:w="730" w:type="dxa"/>
            <w:vMerge w:val="restart"/>
            <w:shd w:val="clear" w:color="auto" w:fill="8EA9DB"/>
          </w:tcPr>
          <w:p w:rsidR="001B105C" w:rsidRDefault="001B105C">
            <w:pPr>
              <w:pStyle w:val="TableParagraph"/>
              <w:spacing w:before="4"/>
              <w:jc w:val="left"/>
            </w:pPr>
          </w:p>
          <w:p w:rsidR="001B105C" w:rsidRDefault="009C00F3">
            <w:pPr>
              <w:pStyle w:val="TableParagraph"/>
              <w:ind w:left="216"/>
              <w:jc w:val="left"/>
              <w:rPr>
                <w:rFonts w:ascii="Caladea"/>
                <w:b/>
              </w:rPr>
            </w:pPr>
            <w:r>
              <w:rPr>
                <w:rFonts w:ascii="Caladea"/>
                <w:b/>
              </w:rPr>
              <w:t>No.</w:t>
            </w:r>
          </w:p>
        </w:tc>
        <w:tc>
          <w:tcPr>
            <w:tcW w:w="1392" w:type="dxa"/>
            <w:vMerge w:val="restart"/>
            <w:shd w:val="clear" w:color="auto" w:fill="8EA9DB"/>
          </w:tcPr>
          <w:p w:rsidR="001B105C" w:rsidRDefault="001B105C">
            <w:pPr>
              <w:pStyle w:val="TableParagraph"/>
              <w:spacing w:before="4"/>
              <w:jc w:val="left"/>
            </w:pPr>
          </w:p>
          <w:p w:rsidR="001B105C" w:rsidRDefault="009C00F3">
            <w:pPr>
              <w:pStyle w:val="TableParagraph"/>
              <w:ind w:left="499" w:right="446"/>
              <w:rPr>
                <w:rFonts w:ascii="Caladea"/>
                <w:b/>
              </w:rPr>
            </w:pPr>
            <w:r>
              <w:rPr>
                <w:rFonts w:ascii="Caladea"/>
                <w:b/>
              </w:rPr>
              <w:t>STA</w:t>
            </w:r>
          </w:p>
        </w:tc>
        <w:tc>
          <w:tcPr>
            <w:tcW w:w="1426" w:type="dxa"/>
            <w:shd w:val="clear" w:color="auto" w:fill="8EA9DB"/>
          </w:tcPr>
          <w:p w:rsidR="001B105C" w:rsidRDefault="009C00F3">
            <w:pPr>
              <w:pStyle w:val="TableParagraph"/>
              <w:spacing w:before="21"/>
              <w:ind w:left="168" w:right="151"/>
              <w:rPr>
                <w:rFonts w:ascii="Caladea"/>
              </w:rPr>
            </w:pPr>
            <w:r>
              <w:rPr>
                <w:rFonts w:ascii="Caladea"/>
              </w:rPr>
              <w:t>Kedalaman</w:t>
            </w:r>
          </w:p>
        </w:tc>
        <w:tc>
          <w:tcPr>
            <w:tcW w:w="1258" w:type="dxa"/>
            <w:vMerge w:val="restart"/>
            <w:tcBorders>
              <w:right w:val="single" w:sz="6" w:space="0" w:color="000000"/>
            </w:tcBorders>
            <w:shd w:val="clear" w:color="auto" w:fill="8EA9DB"/>
          </w:tcPr>
          <w:p w:rsidR="001B105C" w:rsidRDefault="009C00F3">
            <w:pPr>
              <w:pStyle w:val="TableParagraph"/>
              <w:spacing w:before="127"/>
              <w:ind w:left="341" w:right="295" w:firstLine="67"/>
              <w:jc w:val="left"/>
              <w:rPr>
                <w:rFonts w:ascii="Caladea"/>
              </w:rPr>
            </w:pPr>
            <w:r>
              <w:rPr>
                <w:rFonts w:ascii="Caladea"/>
              </w:rPr>
              <w:t>Jenis Tanah</w:t>
            </w:r>
          </w:p>
        </w:tc>
        <w:tc>
          <w:tcPr>
            <w:tcW w:w="1244" w:type="dxa"/>
            <w:tcBorders>
              <w:left w:val="single" w:sz="6" w:space="0" w:color="000000"/>
            </w:tcBorders>
            <w:shd w:val="clear" w:color="auto" w:fill="8EA9DB"/>
          </w:tcPr>
          <w:p w:rsidR="001B105C" w:rsidRDefault="009C00F3">
            <w:pPr>
              <w:pStyle w:val="TableParagraph"/>
              <w:spacing w:before="21"/>
              <w:ind w:left="43"/>
              <w:rPr>
                <w:rFonts w:ascii="Caladea"/>
              </w:rPr>
            </w:pPr>
            <w:r>
              <w:rPr>
                <w:rFonts w:ascii="Caladea"/>
              </w:rPr>
              <w:t>c</w:t>
            </w:r>
          </w:p>
        </w:tc>
        <w:tc>
          <w:tcPr>
            <w:tcW w:w="912" w:type="dxa"/>
            <w:shd w:val="clear" w:color="auto" w:fill="8EA9DB"/>
          </w:tcPr>
          <w:p w:rsidR="001B105C" w:rsidRDefault="009C00F3">
            <w:pPr>
              <w:pStyle w:val="TableParagraph"/>
              <w:spacing w:before="21"/>
              <w:ind w:left="24"/>
              <w:rPr>
                <w:rFonts w:ascii="Caladea"/>
              </w:rPr>
            </w:pPr>
            <w:r>
              <w:rPr>
                <w:rFonts w:ascii="Caladea"/>
              </w:rPr>
              <w:t>F</w:t>
            </w:r>
          </w:p>
        </w:tc>
        <w:tc>
          <w:tcPr>
            <w:tcW w:w="1868" w:type="dxa"/>
            <w:vMerge w:val="restart"/>
            <w:shd w:val="clear" w:color="auto" w:fill="8EA9DB"/>
          </w:tcPr>
          <w:p w:rsidR="001B105C" w:rsidRDefault="009C00F3">
            <w:pPr>
              <w:pStyle w:val="TableParagraph"/>
              <w:spacing w:before="127" w:line="357" w:lineRule="auto"/>
              <w:ind w:left="211"/>
              <w:jc w:val="left"/>
              <w:rPr>
                <w:rFonts w:ascii="Caladea"/>
              </w:rPr>
            </w:pPr>
            <w:r>
              <w:rPr>
                <w:rFonts w:ascii="Caladea"/>
              </w:rPr>
              <w:t>Muka Air Tanah GWL(m)</w:t>
            </w:r>
          </w:p>
        </w:tc>
      </w:tr>
      <w:tr w:rsidR="001B105C">
        <w:trPr>
          <w:trHeight w:val="465"/>
        </w:trPr>
        <w:tc>
          <w:tcPr>
            <w:tcW w:w="730" w:type="dxa"/>
            <w:vMerge/>
            <w:tcBorders>
              <w:top w:val="nil"/>
            </w:tcBorders>
            <w:shd w:val="clear" w:color="auto" w:fill="8EA9DB"/>
          </w:tcPr>
          <w:p w:rsidR="001B105C" w:rsidRDefault="001B105C">
            <w:pPr>
              <w:rPr>
                <w:sz w:val="2"/>
                <w:szCs w:val="2"/>
              </w:rPr>
            </w:pPr>
          </w:p>
        </w:tc>
        <w:tc>
          <w:tcPr>
            <w:tcW w:w="1392" w:type="dxa"/>
            <w:vMerge/>
            <w:tcBorders>
              <w:top w:val="nil"/>
            </w:tcBorders>
            <w:shd w:val="clear" w:color="auto" w:fill="8EA9DB"/>
          </w:tcPr>
          <w:p w:rsidR="001B105C" w:rsidRDefault="001B105C">
            <w:pPr>
              <w:rPr>
                <w:sz w:val="2"/>
                <w:szCs w:val="2"/>
              </w:rPr>
            </w:pPr>
          </w:p>
        </w:tc>
        <w:tc>
          <w:tcPr>
            <w:tcW w:w="1426" w:type="dxa"/>
            <w:shd w:val="clear" w:color="auto" w:fill="8EA9DB"/>
          </w:tcPr>
          <w:p w:rsidR="001B105C" w:rsidRDefault="009C00F3">
            <w:pPr>
              <w:pStyle w:val="TableParagraph"/>
              <w:spacing w:before="107"/>
              <w:ind w:left="168" w:right="126"/>
              <w:rPr>
                <w:rFonts w:ascii="Caladea"/>
              </w:rPr>
            </w:pPr>
            <w:r>
              <w:rPr>
                <w:rFonts w:ascii="Caladea"/>
              </w:rPr>
              <w:t>(m)</w:t>
            </w:r>
          </w:p>
        </w:tc>
        <w:tc>
          <w:tcPr>
            <w:tcW w:w="1258" w:type="dxa"/>
            <w:vMerge/>
            <w:tcBorders>
              <w:top w:val="nil"/>
              <w:right w:val="single" w:sz="6" w:space="0" w:color="000000"/>
            </w:tcBorders>
            <w:shd w:val="clear" w:color="auto" w:fill="8EA9DB"/>
          </w:tcPr>
          <w:p w:rsidR="001B105C" w:rsidRDefault="001B105C">
            <w:pPr>
              <w:rPr>
                <w:sz w:val="2"/>
                <w:szCs w:val="2"/>
              </w:rPr>
            </w:pPr>
          </w:p>
        </w:tc>
        <w:tc>
          <w:tcPr>
            <w:tcW w:w="1244" w:type="dxa"/>
            <w:tcBorders>
              <w:left w:val="single" w:sz="6" w:space="0" w:color="000000"/>
            </w:tcBorders>
            <w:shd w:val="clear" w:color="auto" w:fill="8EA9DB"/>
          </w:tcPr>
          <w:p w:rsidR="001B105C" w:rsidRDefault="009C00F3">
            <w:pPr>
              <w:pStyle w:val="TableParagraph"/>
              <w:spacing w:before="107"/>
              <w:ind w:left="352" w:right="323"/>
              <w:rPr>
                <w:rFonts w:ascii="Caladea"/>
              </w:rPr>
            </w:pPr>
            <w:r>
              <w:rPr>
                <w:rFonts w:ascii="Caladea"/>
              </w:rPr>
              <w:t>(kPa)</w:t>
            </w:r>
          </w:p>
        </w:tc>
        <w:tc>
          <w:tcPr>
            <w:tcW w:w="912" w:type="dxa"/>
            <w:shd w:val="clear" w:color="auto" w:fill="8EA9DB"/>
          </w:tcPr>
          <w:p w:rsidR="001B105C" w:rsidRDefault="009C00F3">
            <w:pPr>
              <w:pStyle w:val="TableParagraph"/>
              <w:spacing w:before="107"/>
              <w:ind w:left="196" w:right="159"/>
              <w:rPr>
                <w:rFonts w:ascii="Caladea"/>
              </w:rPr>
            </w:pPr>
            <w:r>
              <w:rPr>
                <w:rFonts w:ascii="Caladea"/>
              </w:rPr>
              <w:t>(deg)</w:t>
            </w:r>
          </w:p>
        </w:tc>
        <w:tc>
          <w:tcPr>
            <w:tcW w:w="1868" w:type="dxa"/>
            <w:vMerge/>
            <w:tcBorders>
              <w:top w:val="nil"/>
            </w:tcBorders>
            <w:shd w:val="clear" w:color="auto" w:fill="8EA9DB"/>
          </w:tcPr>
          <w:p w:rsidR="001B105C" w:rsidRDefault="001B105C">
            <w:pPr>
              <w:rPr>
                <w:sz w:val="2"/>
                <w:szCs w:val="2"/>
              </w:rPr>
            </w:pPr>
          </w:p>
        </w:tc>
      </w:tr>
      <w:tr w:rsidR="001B105C">
        <w:trPr>
          <w:trHeight w:val="350"/>
        </w:trPr>
        <w:tc>
          <w:tcPr>
            <w:tcW w:w="730" w:type="dxa"/>
            <w:vMerge w:val="restart"/>
          </w:tcPr>
          <w:p w:rsidR="001B105C" w:rsidRDefault="001B105C">
            <w:pPr>
              <w:pStyle w:val="TableParagraph"/>
              <w:jc w:val="left"/>
              <w:rPr>
                <w:sz w:val="24"/>
              </w:rPr>
            </w:pPr>
          </w:p>
          <w:p w:rsidR="001B105C" w:rsidRDefault="001B105C">
            <w:pPr>
              <w:pStyle w:val="TableParagraph"/>
              <w:jc w:val="left"/>
              <w:rPr>
                <w:sz w:val="24"/>
              </w:rPr>
            </w:pPr>
          </w:p>
          <w:p w:rsidR="001B105C" w:rsidRDefault="001B105C">
            <w:pPr>
              <w:pStyle w:val="TableParagraph"/>
              <w:jc w:val="left"/>
              <w:rPr>
                <w:sz w:val="24"/>
              </w:rPr>
            </w:pPr>
          </w:p>
          <w:p w:rsidR="001B105C" w:rsidRDefault="001B105C">
            <w:pPr>
              <w:pStyle w:val="TableParagraph"/>
              <w:jc w:val="left"/>
              <w:rPr>
                <w:sz w:val="24"/>
              </w:rPr>
            </w:pPr>
          </w:p>
          <w:p w:rsidR="001B105C" w:rsidRDefault="009C00F3">
            <w:pPr>
              <w:pStyle w:val="TableParagraph"/>
              <w:spacing w:before="187"/>
              <w:ind w:left="37"/>
              <w:rPr>
                <w:rFonts w:ascii="Arial"/>
              </w:rPr>
            </w:pPr>
            <w:r>
              <w:rPr>
                <w:rFonts w:ascii="Arial"/>
              </w:rPr>
              <w:t>1</w:t>
            </w:r>
          </w:p>
        </w:tc>
        <w:tc>
          <w:tcPr>
            <w:tcW w:w="1392" w:type="dxa"/>
            <w:vMerge w:val="restart"/>
          </w:tcPr>
          <w:p w:rsidR="001B105C" w:rsidRDefault="001B105C">
            <w:pPr>
              <w:pStyle w:val="TableParagraph"/>
              <w:jc w:val="left"/>
              <w:rPr>
                <w:sz w:val="26"/>
              </w:rPr>
            </w:pPr>
          </w:p>
          <w:p w:rsidR="001B105C" w:rsidRDefault="001B105C">
            <w:pPr>
              <w:pStyle w:val="TableParagraph"/>
              <w:jc w:val="left"/>
              <w:rPr>
                <w:sz w:val="26"/>
              </w:rPr>
            </w:pPr>
          </w:p>
          <w:p w:rsidR="001B105C" w:rsidRDefault="001B105C">
            <w:pPr>
              <w:pStyle w:val="TableParagraph"/>
              <w:jc w:val="left"/>
              <w:rPr>
                <w:sz w:val="26"/>
              </w:rPr>
            </w:pPr>
          </w:p>
          <w:p w:rsidR="001B105C" w:rsidRDefault="001B105C">
            <w:pPr>
              <w:pStyle w:val="TableParagraph"/>
              <w:spacing w:before="9"/>
              <w:jc w:val="left"/>
            </w:pPr>
          </w:p>
          <w:p w:rsidR="001B105C" w:rsidRDefault="009C00F3">
            <w:pPr>
              <w:pStyle w:val="TableParagraph"/>
              <w:ind w:left="249"/>
              <w:jc w:val="left"/>
              <w:rPr>
                <w:rFonts w:ascii="Caladea"/>
              </w:rPr>
            </w:pPr>
            <w:r>
              <w:rPr>
                <w:rFonts w:ascii="Caladea"/>
              </w:rPr>
              <w:t>(0+600) -</w:t>
            </w:r>
          </w:p>
          <w:p w:rsidR="001B105C" w:rsidRDefault="009C00F3">
            <w:pPr>
              <w:pStyle w:val="TableParagraph"/>
              <w:spacing w:before="1"/>
              <w:ind w:left="311"/>
              <w:jc w:val="left"/>
              <w:rPr>
                <w:rFonts w:ascii="Caladea"/>
              </w:rPr>
            </w:pPr>
            <w:r>
              <w:rPr>
                <w:rFonts w:ascii="Caladea"/>
              </w:rPr>
              <w:t>(1+000)</w:t>
            </w:r>
          </w:p>
        </w:tc>
        <w:tc>
          <w:tcPr>
            <w:tcW w:w="1426" w:type="dxa"/>
          </w:tcPr>
          <w:p w:rsidR="001B105C" w:rsidRDefault="009C00F3">
            <w:pPr>
              <w:pStyle w:val="TableParagraph"/>
              <w:spacing w:before="31"/>
              <w:ind w:left="168" w:right="136"/>
              <w:rPr>
                <w:rFonts w:ascii="Caladea"/>
              </w:rPr>
            </w:pPr>
            <w:r>
              <w:rPr>
                <w:rFonts w:ascii="Caladea"/>
              </w:rPr>
              <w:t>0 - 4</w:t>
            </w:r>
          </w:p>
        </w:tc>
        <w:tc>
          <w:tcPr>
            <w:tcW w:w="1258" w:type="dxa"/>
            <w:tcBorders>
              <w:right w:val="single" w:sz="6" w:space="0" w:color="000000"/>
            </w:tcBorders>
          </w:tcPr>
          <w:p w:rsidR="001B105C" w:rsidRDefault="009C00F3">
            <w:pPr>
              <w:pStyle w:val="TableParagraph"/>
              <w:spacing w:before="31"/>
              <w:ind w:left="183" w:right="138"/>
              <w:rPr>
                <w:rFonts w:ascii="Caladea"/>
              </w:rPr>
            </w:pPr>
            <w:r>
              <w:rPr>
                <w:rFonts w:ascii="Caladea"/>
              </w:rPr>
              <w:t>Lempung</w:t>
            </w:r>
          </w:p>
        </w:tc>
        <w:tc>
          <w:tcPr>
            <w:tcW w:w="1244" w:type="dxa"/>
            <w:tcBorders>
              <w:left w:val="single" w:sz="6" w:space="0" w:color="000000"/>
            </w:tcBorders>
          </w:tcPr>
          <w:p w:rsidR="001B105C" w:rsidRDefault="009C00F3">
            <w:pPr>
              <w:pStyle w:val="TableParagraph"/>
              <w:spacing w:before="31"/>
              <w:ind w:left="336" w:right="323"/>
              <w:rPr>
                <w:rFonts w:ascii="Caladea"/>
              </w:rPr>
            </w:pPr>
            <w:r>
              <w:rPr>
                <w:rFonts w:ascii="Caladea"/>
              </w:rPr>
              <w:t>12</w:t>
            </w:r>
          </w:p>
        </w:tc>
        <w:tc>
          <w:tcPr>
            <w:tcW w:w="912" w:type="dxa"/>
          </w:tcPr>
          <w:p w:rsidR="001B105C" w:rsidRDefault="009C00F3">
            <w:pPr>
              <w:pStyle w:val="TableParagraph"/>
              <w:spacing w:before="31"/>
              <w:ind w:left="28"/>
              <w:rPr>
                <w:rFonts w:ascii="Caladea"/>
              </w:rPr>
            </w:pPr>
            <w:r>
              <w:rPr>
                <w:rFonts w:ascii="Caladea"/>
              </w:rPr>
              <w:t>0</w:t>
            </w:r>
          </w:p>
        </w:tc>
        <w:tc>
          <w:tcPr>
            <w:tcW w:w="1868" w:type="dxa"/>
            <w:vMerge w:val="restart"/>
          </w:tcPr>
          <w:p w:rsidR="001B105C" w:rsidRDefault="001B105C">
            <w:pPr>
              <w:pStyle w:val="TableParagraph"/>
              <w:jc w:val="left"/>
              <w:rPr>
                <w:sz w:val="26"/>
              </w:rPr>
            </w:pPr>
          </w:p>
          <w:p w:rsidR="001B105C" w:rsidRDefault="001B105C">
            <w:pPr>
              <w:pStyle w:val="TableParagraph"/>
              <w:jc w:val="left"/>
              <w:rPr>
                <w:sz w:val="26"/>
              </w:rPr>
            </w:pPr>
          </w:p>
          <w:p w:rsidR="001B105C" w:rsidRDefault="001B105C">
            <w:pPr>
              <w:pStyle w:val="TableParagraph"/>
              <w:spacing w:before="4"/>
              <w:jc w:val="left"/>
              <w:rPr>
                <w:sz w:val="28"/>
              </w:rPr>
            </w:pPr>
          </w:p>
          <w:p w:rsidR="001B105C" w:rsidRDefault="009C00F3">
            <w:pPr>
              <w:pStyle w:val="TableParagraph"/>
              <w:ind w:left="771" w:right="758"/>
              <w:rPr>
                <w:rFonts w:ascii="Caladea"/>
              </w:rPr>
            </w:pPr>
            <w:r>
              <w:rPr>
                <w:rFonts w:ascii="Caladea"/>
              </w:rPr>
              <w:t>2.5</w:t>
            </w:r>
          </w:p>
        </w:tc>
      </w:tr>
      <w:tr w:rsidR="001B105C">
        <w:trPr>
          <w:trHeight w:val="364"/>
        </w:trPr>
        <w:tc>
          <w:tcPr>
            <w:tcW w:w="730" w:type="dxa"/>
            <w:vMerge/>
            <w:tcBorders>
              <w:top w:val="nil"/>
            </w:tcBorders>
          </w:tcPr>
          <w:p w:rsidR="001B105C" w:rsidRDefault="001B105C">
            <w:pPr>
              <w:rPr>
                <w:sz w:val="2"/>
                <w:szCs w:val="2"/>
              </w:rPr>
            </w:pPr>
          </w:p>
        </w:tc>
        <w:tc>
          <w:tcPr>
            <w:tcW w:w="1392" w:type="dxa"/>
            <w:vMerge/>
            <w:tcBorders>
              <w:top w:val="nil"/>
            </w:tcBorders>
          </w:tcPr>
          <w:p w:rsidR="001B105C" w:rsidRDefault="001B105C">
            <w:pPr>
              <w:rPr>
                <w:sz w:val="2"/>
                <w:szCs w:val="2"/>
              </w:rPr>
            </w:pPr>
          </w:p>
        </w:tc>
        <w:tc>
          <w:tcPr>
            <w:tcW w:w="1426" w:type="dxa"/>
          </w:tcPr>
          <w:p w:rsidR="001B105C" w:rsidRDefault="009C00F3">
            <w:pPr>
              <w:pStyle w:val="TableParagraph"/>
              <w:spacing w:before="26"/>
              <w:ind w:left="168" w:right="136"/>
              <w:rPr>
                <w:rFonts w:ascii="Caladea"/>
              </w:rPr>
            </w:pPr>
            <w:r>
              <w:rPr>
                <w:rFonts w:ascii="Caladea"/>
              </w:rPr>
              <w:t>4 - 8</w:t>
            </w:r>
          </w:p>
        </w:tc>
        <w:tc>
          <w:tcPr>
            <w:tcW w:w="1258" w:type="dxa"/>
            <w:tcBorders>
              <w:right w:val="single" w:sz="6" w:space="0" w:color="000000"/>
            </w:tcBorders>
          </w:tcPr>
          <w:p w:rsidR="001B105C" w:rsidRDefault="009C00F3">
            <w:pPr>
              <w:pStyle w:val="TableParagraph"/>
              <w:spacing w:before="26"/>
              <w:ind w:left="183" w:right="131"/>
              <w:rPr>
                <w:rFonts w:ascii="Caladea"/>
              </w:rPr>
            </w:pPr>
            <w:r>
              <w:rPr>
                <w:rFonts w:ascii="Caladea"/>
              </w:rPr>
              <w:t>Pasir</w:t>
            </w:r>
          </w:p>
        </w:tc>
        <w:tc>
          <w:tcPr>
            <w:tcW w:w="1244" w:type="dxa"/>
            <w:tcBorders>
              <w:left w:val="single" w:sz="6" w:space="0" w:color="000000"/>
            </w:tcBorders>
          </w:tcPr>
          <w:p w:rsidR="001B105C" w:rsidRDefault="009C00F3">
            <w:pPr>
              <w:pStyle w:val="TableParagraph"/>
              <w:spacing w:before="26"/>
              <w:ind w:left="39"/>
              <w:rPr>
                <w:rFonts w:ascii="Caladea"/>
              </w:rPr>
            </w:pPr>
            <w:r>
              <w:rPr>
                <w:rFonts w:ascii="Caladea"/>
              </w:rPr>
              <w:t>0</w:t>
            </w:r>
          </w:p>
        </w:tc>
        <w:tc>
          <w:tcPr>
            <w:tcW w:w="912" w:type="dxa"/>
          </w:tcPr>
          <w:p w:rsidR="001B105C" w:rsidRDefault="009C00F3">
            <w:pPr>
              <w:pStyle w:val="TableParagraph"/>
              <w:spacing w:before="26"/>
              <w:ind w:left="170" w:right="159"/>
              <w:rPr>
                <w:rFonts w:ascii="Caladea"/>
              </w:rPr>
            </w:pPr>
            <w:r>
              <w:rPr>
                <w:rFonts w:ascii="Caladea"/>
              </w:rPr>
              <w:t>26</w:t>
            </w:r>
          </w:p>
        </w:tc>
        <w:tc>
          <w:tcPr>
            <w:tcW w:w="1868" w:type="dxa"/>
            <w:vMerge/>
            <w:tcBorders>
              <w:top w:val="nil"/>
            </w:tcBorders>
          </w:tcPr>
          <w:p w:rsidR="001B105C" w:rsidRDefault="001B105C">
            <w:pPr>
              <w:rPr>
                <w:sz w:val="2"/>
                <w:szCs w:val="2"/>
              </w:rPr>
            </w:pPr>
          </w:p>
        </w:tc>
      </w:tr>
      <w:tr w:rsidR="001B105C">
        <w:trPr>
          <w:trHeight w:val="532"/>
        </w:trPr>
        <w:tc>
          <w:tcPr>
            <w:tcW w:w="730" w:type="dxa"/>
            <w:vMerge/>
            <w:tcBorders>
              <w:top w:val="nil"/>
            </w:tcBorders>
          </w:tcPr>
          <w:p w:rsidR="001B105C" w:rsidRDefault="001B105C">
            <w:pPr>
              <w:rPr>
                <w:sz w:val="2"/>
                <w:szCs w:val="2"/>
              </w:rPr>
            </w:pPr>
          </w:p>
        </w:tc>
        <w:tc>
          <w:tcPr>
            <w:tcW w:w="1392" w:type="dxa"/>
            <w:vMerge/>
            <w:tcBorders>
              <w:top w:val="nil"/>
            </w:tcBorders>
          </w:tcPr>
          <w:p w:rsidR="001B105C" w:rsidRDefault="001B105C">
            <w:pPr>
              <w:rPr>
                <w:sz w:val="2"/>
                <w:szCs w:val="2"/>
              </w:rPr>
            </w:pPr>
          </w:p>
        </w:tc>
        <w:tc>
          <w:tcPr>
            <w:tcW w:w="1426" w:type="dxa"/>
          </w:tcPr>
          <w:p w:rsidR="001B105C" w:rsidRDefault="009C00F3">
            <w:pPr>
              <w:pStyle w:val="TableParagraph"/>
              <w:spacing w:before="55"/>
              <w:ind w:left="157" w:right="151"/>
              <w:rPr>
                <w:rFonts w:ascii="Caladea"/>
              </w:rPr>
            </w:pPr>
            <w:r>
              <w:rPr>
                <w:rFonts w:ascii="Caladea"/>
              </w:rPr>
              <w:t>8 - 15</w:t>
            </w:r>
          </w:p>
        </w:tc>
        <w:tc>
          <w:tcPr>
            <w:tcW w:w="1258" w:type="dxa"/>
            <w:tcBorders>
              <w:right w:val="single" w:sz="6" w:space="0" w:color="000000"/>
            </w:tcBorders>
          </w:tcPr>
          <w:p w:rsidR="001B105C" w:rsidRDefault="009C00F3">
            <w:pPr>
              <w:pStyle w:val="TableParagraph"/>
              <w:spacing w:before="55"/>
              <w:ind w:left="183" w:right="138"/>
              <w:rPr>
                <w:rFonts w:ascii="Caladea"/>
              </w:rPr>
            </w:pPr>
            <w:r>
              <w:rPr>
                <w:rFonts w:ascii="Caladea"/>
              </w:rPr>
              <w:t>Lempung</w:t>
            </w:r>
          </w:p>
        </w:tc>
        <w:tc>
          <w:tcPr>
            <w:tcW w:w="1244" w:type="dxa"/>
            <w:tcBorders>
              <w:left w:val="single" w:sz="6" w:space="0" w:color="000000"/>
            </w:tcBorders>
          </w:tcPr>
          <w:p w:rsidR="001B105C" w:rsidRDefault="009C00F3">
            <w:pPr>
              <w:pStyle w:val="TableParagraph"/>
              <w:spacing w:before="55"/>
              <w:ind w:left="336" w:right="323"/>
              <w:rPr>
                <w:rFonts w:ascii="Caladea"/>
              </w:rPr>
            </w:pPr>
            <w:r>
              <w:rPr>
                <w:rFonts w:ascii="Caladea"/>
              </w:rPr>
              <w:t>18</w:t>
            </w:r>
          </w:p>
        </w:tc>
        <w:tc>
          <w:tcPr>
            <w:tcW w:w="912" w:type="dxa"/>
          </w:tcPr>
          <w:p w:rsidR="001B105C" w:rsidRDefault="009C00F3">
            <w:pPr>
              <w:pStyle w:val="TableParagraph"/>
              <w:spacing w:before="55"/>
              <w:ind w:left="28"/>
              <w:rPr>
                <w:rFonts w:ascii="Caladea"/>
              </w:rPr>
            </w:pPr>
            <w:r>
              <w:rPr>
                <w:rFonts w:ascii="Caladea"/>
              </w:rPr>
              <w:t>0</w:t>
            </w:r>
          </w:p>
        </w:tc>
        <w:tc>
          <w:tcPr>
            <w:tcW w:w="1868" w:type="dxa"/>
            <w:vMerge/>
            <w:tcBorders>
              <w:top w:val="nil"/>
            </w:tcBorders>
          </w:tcPr>
          <w:p w:rsidR="001B105C" w:rsidRDefault="001B105C">
            <w:pPr>
              <w:rPr>
                <w:sz w:val="2"/>
                <w:szCs w:val="2"/>
              </w:rPr>
            </w:pPr>
          </w:p>
        </w:tc>
      </w:tr>
      <w:tr w:rsidR="001B105C">
        <w:trPr>
          <w:trHeight w:val="503"/>
        </w:trPr>
        <w:tc>
          <w:tcPr>
            <w:tcW w:w="730" w:type="dxa"/>
            <w:vMerge/>
            <w:tcBorders>
              <w:top w:val="nil"/>
            </w:tcBorders>
          </w:tcPr>
          <w:p w:rsidR="001B105C" w:rsidRDefault="001B105C">
            <w:pPr>
              <w:rPr>
                <w:sz w:val="2"/>
                <w:szCs w:val="2"/>
              </w:rPr>
            </w:pPr>
          </w:p>
        </w:tc>
        <w:tc>
          <w:tcPr>
            <w:tcW w:w="1392" w:type="dxa"/>
            <w:vMerge/>
            <w:tcBorders>
              <w:top w:val="nil"/>
            </w:tcBorders>
          </w:tcPr>
          <w:p w:rsidR="001B105C" w:rsidRDefault="001B105C">
            <w:pPr>
              <w:rPr>
                <w:sz w:val="2"/>
                <w:szCs w:val="2"/>
              </w:rPr>
            </w:pPr>
          </w:p>
        </w:tc>
        <w:tc>
          <w:tcPr>
            <w:tcW w:w="1426" w:type="dxa"/>
          </w:tcPr>
          <w:p w:rsidR="001B105C" w:rsidRDefault="009C00F3">
            <w:pPr>
              <w:pStyle w:val="TableParagraph"/>
              <w:spacing w:before="50"/>
              <w:ind w:left="162" w:right="151"/>
              <w:rPr>
                <w:rFonts w:ascii="Caladea"/>
              </w:rPr>
            </w:pPr>
            <w:r>
              <w:rPr>
                <w:rFonts w:ascii="Caladea"/>
              </w:rPr>
              <w:t>15 - 28</w:t>
            </w:r>
          </w:p>
        </w:tc>
        <w:tc>
          <w:tcPr>
            <w:tcW w:w="1258" w:type="dxa"/>
            <w:tcBorders>
              <w:right w:val="single" w:sz="6" w:space="0" w:color="000000"/>
            </w:tcBorders>
          </w:tcPr>
          <w:p w:rsidR="001B105C" w:rsidRDefault="009C00F3">
            <w:pPr>
              <w:pStyle w:val="TableParagraph"/>
              <w:spacing w:before="50"/>
              <w:ind w:left="183" w:right="131"/>
              <w:rPr>
                <w:rFonts w:ascii="Caladea"/>
              </w:rPr>
            </w:pPr>
            <w:r>
              <w:rPr>
                <w:rFonts w:ascii="Caladea"/>
              </w:rPr>
              <w:t>Pasir</w:t>
            </w:r>
          </w:p>
        </w:tc>
        <w:tc>
          <w:tcPr>
            <w:tcW w:w="1244" w:type="dxa"/>
            <w:tcBorders>
              <w:left w:val="single" w:sz="6" w:space="0" w:color="000000"/>
            </w:tcBorders>
          </w:tcPr>
          <w:p w:rsidR="001B105C" w:rsidRDefault="009C00F3">
            <w:pPr>
              <w:pStyle w:val="TableParagraph"/>
              <w:spacing w:before="50"/>
              <w:ind w:left="39"/>
              <w:rPr>
                <w:rFonts w:ascii="Caladea"/>
              </w:rPr>
            </w:pPr>
            <w:r>
              <w:rPr>
                <w:rFonts w:ascii="Caladea"/>
              </w:rPr>
              <w:t>0</w:t>
            </w:r>
          </w:p>
        </w:tc>
        <w:tc>
          <w:tcPr>
            <w:tcW w:w="912" w:type="dxa"/>
          </w:tcPr>
          <w:p w:rsidR="001B105C" w:rsidRDefault="009C00F3">
            <w:pPr>
              <w:pStyle w:val="TableParagraph"/>
              <w:spacing w:before="50"/>
              <w:ind w:left="170" w:right="159"/>
              <w:rPr>
                <w:rFonts w:ascii="Caladea"/>
              </w:rPr>
            </w:pPr>
            <w:r>
              <w:rPr>
                <w:rFonts w:ascii="Caladea"/>
              </w:rPr>
              <w:t>32</w:t>
            </w:r>
          </w:p>
        </w:tc>
        <w:tc>
          <w:tcPr>
            <w:tcW w:w="1868" w:type="dxa"/>
            <w:vMerge/>
            <w:tcBorders>
              <w:top w:val="nil"/>
            </w:tcBorders>
          </w:tcPr>
          <w:p w:rsidR="001B105C" w:rsidRDefault="001B105C">
            <w:pPr>
              <w:rPr>
                <w:sz w:val="2"/>
                <w:szCs w:val="2"/>
              </w:rPr>
            </w:pPr>
          </w:p>
        </w:tc>
      </w:tr>
      <w:tr w:rsidR="001B105C">
        <w:trPr>
          <w:trHeight w:val="503"/>
        </w:trPr>
        <w:tc>
          <w:tcPr>
            <w:tcW w:w="730" w:type="dxa"/>
            <w:vMerge/>
            <w:tcBorders>
              <w:top w:val="nil"/>
            </w:tcBorders>
          </w:tcPr>
          <w:p w:rsidR="001B105C" w:rsidRDefault="001B105C">
            <w:pPr>
              <w:rPr>
                <w:sz w:val="2"/>
                <w:szCs w:val="2"/>
              </w:rPr>
            </w:pPr>
          </w:p>
        </w:tc>
        <w:tc>
          <w:tcPr>
            <w:tcW w:w="1392" w:type="dxa"/>
            <w:vMerge/>
            <w:tcBorders>
              <w:top w:val="nil"/>
            </w:tcBorders>
          </w:tcPr>
          <w:p w:rsidR="001B105C" w:rsidRDefault="001B105C">
            <w:pPr>
              <w:rPr>
                <w:sz w:val="2"/>
                <w:szCs w:val="2"/>
              </w:rPr>
            </w:pPr>
          </w:p>
        </w:tc>
        <w:tc>
          <w:tcPr>
            <w:tcW w:w="1426" w:type="dxa"/>
            <w:tcBorders>
              <w:bottom w:val="single" w:sz="6" w:space="0" w:color="000000"/>
            </w:tcBorders>
          </w:tcPr>
          <w:p w:rsidR="001B105C" w:rsidRDefault="009C00F3">
            <w:pPr>
              <w:pStyle w:val="TableParagraph"/>
              <w:spacing w:before="50"/>
              <w:ind w:left="162" w:right="151"/>
              <w:rPr>
                <w:rFonts w:ascii="Caladea"/>
              </w:rPr>
            </w:pPr>
            <w:r>
              <w:rPr>
                <w:rFonts w:ascii="Caladea"/>
              </w:rPr>
              <w:t>28 - 35</w:t>
            </w:r>
          </w:p>
        </w:tc>
        <w:tc>
          <w:tcPr>
            <w:tcW w:w="1258" w:type="dxa"/>
            <w:tcBorders>
              <w:bottom w:val="single" w:sz="6" w:space="0" w:color="000000"/>
              <w:right w:val="single" w:sz="6" w:space="0" w:color="000000"/>
            </w:tcBorders>
          </w:tcPr>
          <w:p w:rsidR="001B105C" w:rsidRDefault="009C00F3">
            <w:pPr>
              <w:pStyle w:val="TableParagraph"/>
              <w:spacing w:before="50"/>
              <w:ind w:left="183" w:right="131"/>
              <w:rPr>
                <w:rFonts w:ascii="Caladea"/>
              </w:rPr>
            </w:pPr>
            <w:r>
              <w:rPr>
                <w:rFonts w:ascii="Caladea"/>
              </w:rPr>
              <w:t>Pasir</w:t>
            </w:r>
          </w:p>
        </w:tc>
        <w:tc>
          <w:tcPr>
            <w:tcW w:w="1244" w:type="dxa"/>
            <w:tcBorders>
              <w:left w:val="single" w:sz="6" w:space="0" w:color="000000"/>
              <w:bottom w:val="single" w:sz="6" w:space="0" w:color="000000"/>
            </w:tcBorders>
          </w:tcPr>
          <w:p w:rsidR="001B105C" w:rsidRDefault="009C00F3">
            <w:pPr>
              <w:pStyle w:val="TableParagraph"/>
              <w:spacing w:before="50"/>
              <w:ind w:left="39"/>
              <w:rPr>
                <w:rFonts w:ascii="Caladea"/>
              </w:rPr>
            </w:pPr>
            <w:r>
              <w:rPr>
                <w:rFonts w:ascii="Caladea"/>
              </w:rPr>
              <w:t>0</w:t>
            </w:r>
          </w:p>
        </w:tc>
        <w:tc>
          <w:tcPr>
            <w:tcW w:w="912" w:type="dxa"/>
            <w:tcBorders>
              <w:bottom w:val="single" w:sz="6" w:space="0" w:color="000000"/>
            </w:tcBorders>
          </w:tcPr>
          <w:p w:rsidR="001B105C" w:rsidRDefault="009C00F3">
            <w:pPr>
              <w:pStyle w:val="TableParagraph"/>
              <w:spacing w:before="50"/>
              <w:ind w:left="160" w:right="159"/>
              <w:rPr>
                <w:rFonts w:ascii="Caladea"/>
              </w:rPr>
            </w:pPr>
            <w:r>
              <w:rPr>
                <w:rFonts w:ascii="Caladea"/>
              </w:rPr>
              <w:t>38</w:t>
            </w:r>
          </w:p>
        </w:tc>
        <w:tc>
          <w:tcPr>
            <w:tcW w:w="1868" w:type="dxa"/>
            <w:vMerge/>
            <w:tcBorders>
              <w:top w:val="nil"/>
            </w:tcBorders>
          </w:tcPr>
          <w:p w:rsidR="001B105C" w:rsidRDefault="001B105C">
            <w:pPr>
              <w:rPr>
                <w:sz w:val="2"/>
                <w:szCs w:val="2"/>
              </w:rPr>
            </w:pPr>
          </w:p>
        </w:tc>
      </w:tr>
      <w:tr w:rsidR="001B105C">
        <w:trPr>
          <w:trHeight w:val="547"/>
        </w:trPr>
        <w:tc>
          <w:tcPr>
            <w:tcW w:w="730" w:type="dxa"/>
            <w:vMerge/>
            <w:tcBorders>
              <w:top w:val="nil"/>
            </w:tcBorders>
          </w:tcPr>
          <w:p w:rsidR="001B105C" w:rsidRDefault="001B105C">
            <w:pPr>
              <w:rPr>
                <w:sz w:val="2"/>
                <w:szCs w:val="2"/>
              </w:rPr>
            </w:pPr>
          </w:p>
        </w:tc>
        <w:tc>
          <w:tcPr>
            <w:tcW w:w="1392" w:type="dxa"/>
            <w:vMerge/>
            <w:tcBorders>
              <w:top w:val="nil"/>
            </w:tcBorders>
          </w:tcPr>
          <w:p w:rsidR="001B105C" w:rsidRDefault="001B105C">
            <w:pPr>
              <w:rPr>
                <w:sz w:val="2"/>
                <w:szCs w:val="2"/>
              </w:rPr>
            </w:pPr>
          </w:p>
        </w:tc>
        <w:tc>
          <w:tcPr>
            <w:tcW w:w="1426" w:type="dxa"/>
            <w:tcBorders>
              <w:top w:val="single" w:sz="6" w:space="0" w:color="000000"/>
            </w:tcBorders>
          </w:tcPr>
          <w:p w:rsidR="001B105C" w:rsidRDefault="009C00F3">
            <w:pPr>
              <w:pStyle w:val="TableParagraph"/>
              <w:spacing w:before="45"/>
              <w:ind w:left="162" w:right="151"/>
              <w:rPr>
                <w:rFonts w:ascii="Caladea"/>
              </w:rPr>
            </w:pPr>
            <w:r>
              <w:rPr>
                <w:rFonts w:ascii="Caladea"/>
              </w:rPr>
              <w:t>35 - 50</w:t>
            </w:r>
          </w:p>
        </w:tc>
        <w:tc>
          <w:tcPr>
            <w:tcW w:w="1258" w:type="dxa"/>
            <w:tcBorders>
              <w:top w:val="single" w:sz="6" w:space="0" w:color="000000"/>
              <w:right w:val="single" w:sz="6" w:space="0" w:color="000000"/>
            </w:tcBorders>
          </w:tcPr>
          <w:p w:rsidR="001B105C" w:rsidRDefault="009C00F3">
            <w:pPr>
              <w:pStyle w:val="TableParagraph"/>
              <w:spacing w:before="45"/>
              <w:ind w:left="183" w:right="138"/>
              <w:rPr>
                <w:rFonts w:ascii="Caladea"/>
              </w:rPr>
            </w:pPr>
            <w:r>
              <w:rPr>
                <w:rFonts w:ascii="Caladea"/>
              </w:rPr>
              <w:t>Lempung</w:t>
            </w:r>
          </w:p>
        </w:tc>
        <w:tc>
          <w:tcPr>
            <w:tcW w:w="1244" w:type="dxa"/>
            <w:tcBorders>
              <w:top w:val="single" w:sz="6" w:space="0" w:color="000000"/>
              <w:left w:val="single" w:sz="6" w:space="0" w:color="000000"/>
            </w:tcBorders>
          </w:tcPr>
          <w:p w:rsidR="001B105C" w:rsidRDefault="009C00F3">
            <w:pPr>
              <w:pStyle w:val="TableParagraph"/>
              <w:spacing w:before="45"/>
              <w:ind w:left="336" w:right="323"/>
              <w:rPr>
                <w:rFonts w:ascii="Caladea"/>
              </w:rPr>
            </w:pPr>
            <w:r>
              <w:rPr>
                <w:rFonts w:ascii="Caladea"/>
              </w:rPr>
              <w:t>84</w:t>
            </w:r>
          </w:p>
        </w:tc>
        <w:tc>
          <w:tcPr>
            <w:tcW w:w="912" w:type="dxa"/>
            <w:tcBorders>
              <w:top w:val="single" w:sz="6" w:space="0" w:color="000000"/>
            </w:tcBorders>
          </w:tcPr>
          <w:p w:rsidR="001B105C" w:rsidRDefault="009C00F3">
            <w:pPr>
              <w:pStyle w:val="TableParagraph"/>
              <w:spacing w:before="45"/>
              <w:ind w:left="37"/>
              <w:rPr>
                <w:rFonts w:ascii="Caladea"/>
              </w:rPr>
            </w:pPr>
            <w:r>
              <w:rPr>
                <w:rFonts w:ascii="Caladea"/>
              </w:rPr>
              <w:t>0</w:t>
            </w:r>
          </w:p>
        </w:tc>
        <w:tc>
          <w:tcPr>
            <w:tcW w:w="1868" w:type="dxa"/>
            <w:vMerge/>
            <w:tcBorders>
              <w:top w:val="nil"/>
            </w:tcBorders>
          </w:tcPr>
          <w:p w:rsidR="001B105C" w:rsidRDefault="001B105C">
            <w:pPr>
              <w:rPr>
                <w:sz w:val="2"/>
                <w:szCs w:val="2"/>
              </w:rPr>
            </w:pPr>
          </w:p>
        </w:tc>
      </w:tr>
    </w:tbl>
    <w:p w:rsidR="001B105C" w:rsidRDefault="001B105C">
      <w:pPr>
        <w:pStyle w:val="BodyText"/>
        <w:spacing w:before="9"/>
        <w:rPr>
          <w:sz w:val="21"/>
        </w:rPr>
      </w:pPr>
    </w:p>
    <w:p w:rsidR="001B105C" w:rsidRDefault="009C00F3">
      <w:pPr>
        <w:pStyle w:val="Heading1"/>
        <w:ind w:left="437"/>
      </w:pPr>
      <w:r>
        <w:t>Analisis Material Timbunan</w:t>
      </w:r>
    </w:p>
    <w:p w:rsidR="001B105C" w:rsidRDefault="001B105C">
      <w:pPr>
        <w:pStyle w:val="BodyText"/>
        <w:rPr>
          <w:b/>
        </w:rPr>
      </w:pPr>
    </w:p>
    <w:p w:rsidR="001B105C" w:rsidRDefault="009C00F3">
      <w:pPr>
        <w:pStyle w:val="BodyText"/>
        <w:ind w:left="1186"/>
        <w:jc w:val="both"/>
      </w:pPr>
      <w:r>
        <w:t>Berikut ini merupakan tabel resume material timbunan yang akan digunakan.</w:t>
      </w:r>
    </w:p>
    <w:p w:rsidR="001B105C" w:rsidRDefault="001B105C">
      <w:pPr>
        <w:pStyle w:val="BodyText"/>
        <w:rPr>
          <w:sz w:val="15"/>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1383"/>
        <w:gridCol w:w="2041"/>
        <w:gridCol w:w="720"/>
        <w:gridCol w:w="864"/>
        <w:gridCol w:w="869"/>
        <w:gridCol w:w="874"/>
        <w:gridCol w:w="1589"/>
      </w:tblGrid>
      <w:tr w:rsidR="001B105C">
        <w:trPr>
          <w:trHeight w:val="311"/>
        </w:trPr>
        <w:tc>
          <w:tcPr>
            <w:tcW w:w="1023" w:type="dxa"/>
            <w:vMerge w:val="restart"/>
          </w:tcPr>
          <w:p w:rsidR="001B105C" w:rsidRDefault="001B105C">
            <w:pPr>
              <w:pStyle w:val="TableParagraph"/>
              <w:spacing w:before="4"/>
              <w:jc w:val="left"/>
            </w:pPr>
          </w:p>
          <w:p w:rsidR="001B105C" w:rsidRDefault="009C00F3">
            <w:pPr>
              <w:pStyle w:val="TableParagraph"/>
              <w:ind w:left="240"/>
              <w:jc w:val="left"/>
              <w:rPr>
                <w:sz w:val="24"/>
              </w:rPr>
            </w:pPr>
            <w:r>
              <w:rPr>
                <w:sz w:val="24"/>
              </w:rPr>
              <w:t>Quarry</w:t>
            </w:r>
          </w:p>
        </w:tc>
        <w:tc>
          <w:tcPr>
            <w:tcW w:w="1383" w:type="dxa"/>
            <w:vMerge w:val="restart"/>
          </w:tcPr>
          <w:p w:rsidR="001B105C" w:rsidRDefault="009C00F3">
            <w:pPr>
              <w:pStyle w:val="TableParagraph"/>
              <w:ind w:left="234" w:right="171" w:hanging="27"/>
              <w:rPr>
                <w:sz w:val="24"/>
              </w:rPr>
            </w:pPr>
            <w:r>
              <w:rPr>
                <w:sz w:val="24"/>
              </w:rPr>
              <w:t xml:space="preserve">Jenis Tanah </w:t>
            </w:r>
            <w:r>
              <w:rPr>
                <w:spacing w:val="-2"/>
                <w:sz w:val="24"/>
              </w:rPr>
              <w:t>AASHTO</w:t>
            </w:r>
          </w:p>
        </w:tc>
        <w:tc>
          <w:tcPr>
            <w:tcW w:w="2041" w:type="dxa"/>
            <w:vMerge w:val="restart"/>
          </w:tcPr>
          <w:p w:rsidR="001B105C" w:rsidRDefault="001B105C">
            <w:pPr>
              <w:pStyle w:val="TableParagraph"/>
              <w:spacing w:before="4"/>
              <w:jc w:val="left"/>
            </w:pPr>
          </w:p>
          <w:p w:rsidR="001B105C" w:rsidRDefault="009C00F3">
            <w:pPr>
              <w:pStyle w:val="TableParagraph"/>
              <w:ind w:left="628"/>
              <w:jc w:val="left"/>
              <w:rPr>
                <w:sz w:val="24"/>
              </w:rPr>
            </w:pPr>
            <w:r>
              <w:rPr>
                <w:sz w:val="24"/>
              </w:rPr>
              <w:t>Jenis Tanah</w:t>
            </w:r>
          </w:p>
        </w:tc>
        <w:tc>
          <w:tcPr>
            <w:tcW w:w="720" w:type="dxa"/>
            <w:vMerge w:val="restart"/>
          </w:tcPr>
          <w:p w:rsidR="001B105C" w:rsidRDefault="001B105C">
            <w:pPr>
              <w:pStyle w:val="TableParagraph"/>
              <w:spacing w:before="4"/>
              <w:jc w:val="left"/>
            </w:pPr>
          </w:p>
          <w:p w:rsidR="001B105C" w:rsidRDefault="009C00F3">
            <w:pPr>
              <w:pStyle w:val="TableParagraph"/>
              <w:ind w:left="215"/>
              <w:jc w:val="left"/>
              <w:rPr>
                <w:sz w:val="24"/>
              </w:rPr>
            </w:pPr>
            <w:r>
              <w:rPr>
                <w:sz w:val="24"/>
              </w:rPr>
              <w:t>Gs</w:t>
            </w:r>
          </w:p>
        </w:tc>
        <w:tc>
          <w:tcPr>
            <w:tcW w:w="2607" w:type="dxa"/>
            <w:gridSpan w:val="3"/>
          </w:tcPr>
          <w:p w:rsidR="001B105C" w:rsidRDefault="009C00F3">
            <w:pPr>
              <w:pStyle w:val="TableParagraph"/>
              <w:spacing w:line="255" w:lineRule="exact"/>
              <w:ind w:left="758"/>
              <w:jc w:val="left"/>
              <w:rPr>
                <w:sz w:val="24"/>
              </w:rPr>
            </w:pPr>
            <w:r>
              <w:rPr>
                <w:sz w:val="24"/>
              </w:rPr>
              <w:t>Atterberg Limit</w:t>
            </w:r>
          </w:p>
        </w:tc>
        <w:tc>
          <w:tcPr>
            <w:tcW w:w="1589" w:type="dxa"/>
            <w:vMerge w:val="restart"/>
          </w:tcPr>
          <w:p w:rsidR="001B105C" w:rsidRDefault="009C00F3">
            <w:pPr>
              <w:pStyle w:val="TableParagraph"/>
              <w:spacing w:line="232" w:lineRule="auto"/>
              <w:ind w:left="456" w:right="123" w:hanging="202"/>
              <w:jc w:val="left"/>
              <w:rPr>
                <w:sz w:val="24"/>
              </w:rPr>
            </w:pPr>
            <w:r>
              <w:rPr>
                <w:sz w:val="24"/>
              </w:rPr>
              <w:t>CBR 100% MDD (%)</w:t>
            </w:r>
          </w:p>
        </w:tc>
      </w:tr>
      <w:tr w:rsidR="001B105C">
        <w:trPr>
          <w:trHeight w:val="637"/>
        </w:trPr>
        <w:tc>
          <w:tcPr>
            <w:tcW w:w="1023" w:type="dxa"/>
            <w:vMerge/>
            <w:tcBorders>
              <w:top w:val="nil"/>
            </w:tcBorders>
          </w:tcPr>
          <w:p w:rsidR="001B105C" w:rsidRDefault="001B105C">
            <w:pPr>
              <w:rPr>
                <w:sz w:val="2"/>
                <w:szCs w:val="2"/>
              </w:rPr>
            </w:pPr>
          </w:p>
        </w:tc>
        <w:tc>
          <w:tcPr>
            <w:tcW w:w="1383" w:type="dxa"/>
            <w:vMerge/>
            <w:tcBorders>
              <w:top w:val="nil"/>
            </w:tcBorders>
          </w:tcPr>
          <w:p w:rsidR="001B105C" w:rsidRDefault="001B105C">
            <w:pPr>
              <w:rPr>
                <w:sz w:val="2"/>
                <w:szCs w:val="2"/>
              </w:rPr>
            </w:pPr>
          </w:p>
        </w:tc>
        <w:tc>
          <w:tcPr>
            <w:tcW w:w="2041" w:type="dxa"/>
            <w:vMerge/>
            <w:tcBorders>
              <w:top w:val="nil"/>
            </w:tcBorders>
          </w:tcPr>
          <w:p w:rsidR="001B105C" w:rsidRDefault="001B105C">
            <w:pPr>
              <w:rPr>
                <w:sz w:val="2"/>
                <w:szCs w:val="2"/>
              </w:rPr>
            </w:pPr>
          </w:p>
        </w:tc>
        <w:tc>
          <w:tcPr>
            <w:tcW w:w="720" w:type="dxa"/>
            <w:vMerge/>
            <w:tcBorders>
              <w:top w:val="nil"/>
            </w:tcBorders>
          </w:tcPr>
          <w:p w:rsidR="001B105C" w:rsidRDefault="001B105C">
            <w:pPr>
              <w:rPr>
                <w:sz w:val="2"/>
                <w:szCs w:val="2"/>
              </w:rPr>
            </w:pPr>
          </w:p>
        </w:tc>
        <w:tc>
          <w:tcPr>
            <w:tcW w:w="864" w:type="dxa"/>
          </w:tcPr>
          <w:p w:rsidR="001B105C" w:rsidRDefault="009C00F3">
            <w:pPr>
              <w:pStyle w:val="TableParagraph"/>
              <w:spacing w:line="242" w:lineRule="auto"/>
              <w:ind w:left="273" w:firstLine="67"/>
              <w:jc w:val="left"/>
              <w:rPr>
                <w:sz w:val="24"/>
              </w:rPr>
            </w:pPr>
            <w:r>
              <w:rPr>
                <w:sz w:val="24"/>
              </w:rPr>
              <w:t>LL (%)</w:t>
            </w:r>
          </w:p>
        </w:tc>
        <w:tc>
          <w:tcPr>
            <w:tcW w:w="869" w:type="dxa"/>
          </w:tcPr>
          <w:p w:rsidR="001B105C" w:rsidRDefault="009C00F3">
            <w:pPr>
              <w:pStyle w:val="TableParagraph"/>
              <w:spacing w:line="242" w:lineRule="auto"/>
              <w:ind w:left="274" w:firstLine="67"/>
              <w:jc w:val="left"/>
              <w:rPr>
                <w:sz w:val="24"/>
              </w:rPr>
            </w:pPr>
            <w:r>
              <w:rPr>
                <w:sz w:val="24"/>
              </w:rPr>
              <w:t>PL (%)</w:t>
            </w:r>
          </w:p>
        </w:tc>
        <w:tc>
          <w:tcPr>
            <w:tcW w:w="874" w:type="dxa"/>
          </w:tcPr>
          <w:p w:rsidR="001B105C" w:rsidRDefault="009C00F3">
            <w:pPr>
              <w:pStyle w:val="TableParagraph"/>
              <w:spacing w:line="242" w:lineRule="auto"/>
              <w:ind w:left="273" w:firstLine="115"/>
              <w:jc w:val="left"/>
              <w:rPr>
                <w:sz w:val="24"/>
              </w:rPr>
            </w:pPr>
            <w:r>
              <w:rPr>
                <w:sz w:val="24"/>
              </w:rPr>
              <w:t>PI (%)</w:t>
            </w:r>
          </w:p>
        </w:tc>
        <w:tc>
          <w:tcPr>
            <w:tcW w:w="1589" w:type="dxa"/>
            <w:vMerge/>
            <w:tcBorders>
              <w:top w:val="nil"/>
            </w:tcBorders>
          </w:tcPr>
          <w:p w:rsidR="001B105C" w:rsidRDefault="001B105C">
            <w:pPr>
              <w:rPr>
                <w:sz w:val="2"/>
                <w:szCs w:val="2"/>
              </w:rPr>
            </w:pPr>
          </w:p>
        </w:tc>
      </w:tr>
      <w:tr w:rsidR="001B105C">
        <w:trPr>
          <w:trHeight w:val="638"/>
        </w:trPr>
        <w:tc>
          <w:tcPr>
            <w:tcW w:w="1023" w:type="dxa"/>
          </w:tcPr>
          <w:p w:rsidR="001B105C" w:rsidRDefault="009C00F3">
            <w:pPr>
              <w:pStyle w:val="TableParagraph"/>
              <w:spacing w:before="118"/>
              <w:ind w:right="372"/>
              <w:jc w:val="right"/>
              <w:rPr>
                <w:sz w:val="24"/>
              </w:rPr>
            </w:pPr>
            <w:r>
              <w:rPr>
                <w:sz w:val="24"/>
              </w:rPr>
              <w:t>1</w:t>
            </w:r>
          </w:p>
        </w:tc>
        <w:tc>
          <w:tcPr>
            <w:tcW w:w="1383" w:type="dxa"/>
          </w:tcPr>
          <w:p w:rsidR="001B105C" w:rsidRDefault="009C00F3">
            <w:pPr>
              <w:pStyle w:val="TableParagraph"/>
              <w:spacing w:before="118"/>
              <w:ind w:right="430"/>
              <w:jc w:val="right"/>
              <w:rPr>
                <w:sz w:val="24"/>
              </w:rPr>
            </w:pPr>
            <w:r>
              <w:rPr>
                <w:sz w:val="24"/>
              </w:rPr>
              <w:t>A-6</w:t>
            </w:r>
          </w:p>
        </w:tc>
        <w:tc>
          <w:tcPr>
            <w:tcW w:w="2041" w:type="dxa"/>
          </w:tcPr>
          <w:p w:rsidR="001B105C" w:rsidRDefault="009C00F3">
            <w:pPr>
              <w:pStyle w:val="TableParagraph"/>
              <w:spacing w:line="265" w:lineRule="exact"/>
              <w:ind w:right="47"/>
              <w:jc w:val="right"/>
              <w:rPr>
                <w:sz w:val="24"/>
              </w:rPr>
            </w:pPr>
            <w:r>
              <w:rPr>
                <w:sz w:val="24"/>
              </w:rPr>
              <w:t>Tanah Berlempung</w:t>
            </w:r>
          </w:p>
        </w:tc>
        <w:tc>
          <w:tcPr>
            <w:tcW w:w="720" w:type="dxa"/>
          </w:tcPr>
          <w:p w:rsidR="001B105C" w:rsidRDefault="009C00F3">
            <w:pPr>
              <w:pStyle w:val="TableParagraph"/>
              <w:spacing w:before="118"/>
              <w:ind w:left="106" w:right="143"/>
              <w:rPr>
                <w:sz w:val="24"/>
              </w:rPr>
            </w:pPr>
            <w:r>
              <w:rPr>
                <w:sz w:val="24"/>
              </w:rPr>
              <w:t>2.64</w:t>
            </w:r>
          </w:p>
        </w:tc>
        <w:tc>
          <w:tcPr>
            <w:tcW w:w="864" w:type="dxa"/>
          </w:tcPr>
          <w:p w:rsidR="001B105C" w:rsidRDefault="009C00F3">
            <w:pPr>
              <w:pStyle w:val="TableParagraph"/>
              <w:spacing w:before="118"/>
              <w:ind w:left="158" w:right="115"/>
              <w:rPr>
                <w:sz w:val="24"/>
              </w:rPr>
            </w:pPr>
            <w:r>
              <w:rPr>
                <w:sz w:val="24"/>
              </w:rPr>
              <w:t>34.83</w:t>
            </w:r>
          </w:p>
        </w:tc>
        <w:tc>
          <w:tcPr>
            <w:tcW w:w="869" w:type="dxa"/>
          </w:tcPr>
          <w:p w:rsidR="001B105C" w:rsidRDefault="009C00F3">
            <w:pPr>
              <w:pStyle w:val="TableParagraph"/>
              <w:spacing w:before="118"/>
              <w:ind w:left="164" w:right="115"/>
              <w:rPr>
                <w:sz w:val="24"/>
              </w:rPr>
            </w:pPr>
            <w:r>
              <w:rPr>
                <w:sz w:val="24"/>
              </w:rPr>
              <w:t>15.85</w:t>
            </w:r>
          </w:p>
        </w:tc>
        <w:tc>
          <w:tcPr>
            <w:tcW w:w="874" w:type="dxa"/>
          </w:tcPr>
          <w:p w:rsidR="001B105C" w:rsidRDefault="009C00F3">
            <w:pPr>
              <w:pStyle w:val="TableParagraph"/>
              <w:spacing w:before="118"/>
              <w:ind w:left="159" w:right="125"/>
              <w:rPr>
                <w:sz w:val="24"/>
              </w:rPr>
            </w:pPr>
            <w:r>
              <w:rPr>
                <w:sz w:val="24"/>
              </w:rPr>
              <w:t>18.98</w:t>
            </w:r>
          </w:p>
        </w:tc>
        <w:tc>
          <w:tcPr>
            <w:tcW w:w="1589" w:type="dxa"/>
          </w:tcPr>
          <w:p w:rsidR="001B105C" w:rsidRDefault="009C00F3">
            <w:pPr>
              <w:pStyle w:val="TableParagraph"/>
              <w:spacing w:before="118"/>
              <w:ind w:left="562" w:right="437"/>
              <w:rPr>
                <w:sz w:val="24"/>
              </w:rPr>
            </w:pPr>
            <w:r>
              <w:rPr>
                <w:sz w:val="24"/>
              </w:rPr>
              <w:t>10.07</w:t>
            </w:r>
          </w:p>
        </w:tc>
      </w:tr>
      <w:tr w:rsidR="001B105C">
        <w:trPr>
          <w:trHeight w:val="642"/>
        </w:trPr>
        <w:tc>
          <w:tcPr>
            <w:tcW w:w="1023" w:type="dxa"/>
          </w:tcPr>
          <w:p w:rsidR="001B105C" w:rsidRDefault="009C00F3">
            <w:pPr>
              <w:pStyle w:val="TableParagraph"/>
              <w:spacing w:before="118"/>
              <w:ind w:right="372"/>
              <w:jc w:val="right"/>
              <w:rPr>
                <w:sz w:val="24"/>
              </w:rPr>
            </w:pPr>
            <w:r>
              <w:rPr>
                <w:sz w:val="24"/>
              </w:rPr>
              <w:t>2</w:t>
            </w:r>
          </w:p>
        </w:tc>
        <w:tc>
          <w:tcPr>
            <w:tcW w:w="1383" w:type="dxa"/>
          </w:tcPr>
          <w:p w:rsidR="001B105C" w:rsidRDefault="009C00F3">
            <w:pPr>
              <w:pStyle w:val="TableParagraph"/>
              <w:spacing w:before="118"/>
              <w:ind w:right="430"/>
              <w:jc w:val="right"/>
              <w:rPr>
                <w:sz w:val="24"/>
              </w:rPr>
            </w:pPr>
            <w:r>
              <w:rPr>
                <w:sz w:val="24"/>
              </w:rPr>
              <w:t>A-6</w:t>
            </w:r>
          </w:p>
        </w:tc>
        <w:tc>
          <w:tcPr>
            <w:tcW w:w="2041" w:type="dxa"/>
          </w:tcPr>
          <w:p w:rsidR="001B105C" w:rsidRDefault="009C00F3">
            <w:pPr>
              <w:pStyle w:val="TableParagraph"/>
              <w:spacing w:line="270" w:lineRule="exact"/>
              <w:ind w:right="47"/>
              <w:jc w:val="right"/>
              <w:rPr>
                <w:sz w:val="24"/>
              </w:rPr>
            </w:pPr>
            <w:r>
              <w:rPr>
                <w:sz w:val="24"/>
              </w:rPr>
              <w:t>Tanah Berlempung</w:t>
            </w:r>
          </w:p>
        </w:tc>
        <w:tc>
          <w:tcPr>
            <w:tcW w:w="720" w:type="dxa"/>
          </w:tcPr>
          <w:p w:rsidR="001B105C" w:rsidRDefault="009C00F3">
            <w:pPr>
              <w:pStyle w:val="TableParagraph"/>
              <w:spacing w:before="118"/>
              <w:ind w:left="106" w:right="143"/>
              <w:rPr>
                <w:sz w:val="24"/>
              </w:rPr>
            </w:pPr>
            <w:r>
              <w:rPr>
                <w:sz w:val="24"/>
              </w:rPr>
              <w:t>2.64</w:t>
            </w:r>
          </w:p>
        </w:tc>
        <w:tc>
          <w:tcPr>
            <w:tcW w:w="864" w:type="dxa"/>
          </w:tcPr>
          <w:p w:rsidR="001B105C" w:rsidRDefault="009C00F3">
            <w:pPr>
              <w:pStyle w:val="TableParagraph"/>
              <w:spacing w:before="118"/>
              <w:ind w:left="158" w:right="115"/>
              <w:rPr>
                <w:sz w:val="24"/>
              </w:rPr>
            </w:pPr>
            <w:r>
              <w:rPr>
                <w:sz w:val="24"/>
              </w:rPr>
              <w:t>39.56</w:t>
            </w:r>
          </w:p>
        </w:tc>
        <w:tc>
          <w:tcPr>
            <w:tcW w:w="869" w:type="dxa"/>
          </w:tcPr>
          <w:p w:rsidR="001B105C" w:rsidRDefault="009C00F3">
            <w:pPr>
              <w:pStyle w:val="TableParagraph"/>
              <w:spacing w:before="118"/>
              <w:ind w:left="164" w:right="115"/>
              <w:rPr>
                <w:sz w:val="24"/>
              </w:rPr>
            </w:pPr>
            <w:r>
              <w:rPr>
                <w:sz w:val="24"/>
              </w:rPr>
              <w:t>18.30</w:t>
            </w:r>
          </w:p>
        </w:tc>
        <w:tc>
          <w:tcPr>
            <w:tcW w:w="874" w:type="dxa"/>
          </w:tcPr>
          <w:p w:rsidR="001B105C" w:rsidRDefault="009C00F3">
            <w:pPr>
              <w:pStyle w:val="TableParagraph"/>
              <w:spacing w:before="118"/>
              <w:ind w:left="159" w:right="125"/>
              <w:rPr>
                <w:sz w:val="24"/>
              </w:rPr>
            </w:pPr>
            <w:r>
              <w:rPr>
                <w:sz w:val="24"/>
              </w:rPr>
              <w:t>21.26</w:t>
            </w:r>
          </w:p>
        </w:tc>
        <w:tc>
          <w:tcPr>
            <w:tcW w:w="1589" w:type="dxa"/>
          </w:tcPr>
          <w:p w:rsidR="001B105C" w:rsidRDefault="009C00F3">
            <w:pPr>
              <w:pStyle w:val="TableParagraph"/>
              <w:spacing w:before="118"/>
              <w:ind w:left="562" w:right="432"/>
              <w:rPr>
                <w:sz w:val="24"/>
              </w:rPr>
            </w:pPr>
            <w:r>
              <w:rPr>
                <w:sz w:val="24"/>
              </w:rPr>
              <w:t>9.80</w:t>
            </w:r>
          </w:p>
        </w:tc>
      </w:tr>
      <w:tr w:rsidR="001B105C">
        <w:trPr>
          <w:trHeight w:val="642"/>
        </w:trPr>
        <w:tc>
          <w:tcPr>
            <w:tcW w:w="1023" w:type="dxa"/>
          </w:tcPr>
          <w:p w:rsidR="001B105C" w:rsidRDefault="009C00F3">
            <w:pPr>
              <w:pStyle w:val="TableParagraph"/>
              <w:spacing w:before="118"/>
              <w:ind w:right="372"/>
              <w:jc w:val="right"/>
              <w:rPr>
                <w:sz w:val="24"/>
              </w:rPr>
            </w:pPr>
            <w:r>
              <w:rPr>
                <w:sz w:val="24"/>
              </w:rPr>
              <w:t>3</w:t>
            </w:r>
          </w:p>
        </w:tc>
        <w:tc>
          <w:tcPr>
            <w:tcW w:w="1383" w:type="dxa"/>
          </w:tcPr>
          <w:p w:rsidR="001B105C" w:rsidRDefault="009C00F3">
            <w:pPr>
              <w:pStyle w:val="TableParagraph"/>
              <w:spacing w:before="118"/>
              <w:ind w:right="430"/>
              <w:jc w:val="right"/>
              <w:rPr>
                <w:sz w:val="24"/>
              </w:rPr>
            </w:pPr>
            <w:r>
              <w:rPr>
                <w:sz w:val="24"/>
              </w:rPr>
              <w:t>A-6</w:t>
            </w:r>
          </w:p>
        </w:tc>
        <w:tc>
          <w:tcPr>
            <w:tcW w:w="2041" w:type="dxa"/>
          </w:tcPr>
          <w:p w:rsidR="001B105C" w:rsidRDefault="009C00F3">
            <w:pPr>
              <w:pStyle w:val="TableParagraph"/>
              <w:spacing w:line="265" w:lineRule="exact"/>
              <w:ind w:right="47"/>
              <w:jc w:val="right"/>
              <w:rPr>
                <w:sz w:val="24"/>
              </w:rPr>
            </w:pPr>
            <w:r>
              <w:rPr>
                <w:sz w:val="24"/>
              </w:rPr>
              <w:t>Tanah Berlempung</w:t>
            </w:r>
          </w:p>
        </w:tc>
        <w:tc>
          <w:tcPr>
            <w:tcW w:w="720" w:type="dxa"/>
          </w:tcPr>
          <w:p w:rsidR="001B105C" w:rsidRDefault="009C00F3">
            <w:pPr>
              <w:pStyle w:val="TableParagraph"/>
              <w:spacing w:before="118"/>
              <w:ind w:left="106" w:right="143"/>
              <w:rPr>
                <w:sz w:val="24"/>
              </w:rPr>
            </w:pPr>
            <w:r>
              <w:rPr>
                <w:sz w:val="24"/>
              </w:rPr>
              <w:t>2.63</w:t>
            </w:r>
          </w:p>
        </w:tc>
        <w:tc>
          <w:tcPr>
            <w:tcW w:w="864" w:type="dxa"/>
          </w:tcPr>
          <w:p w:rsidR="001B105C" w:rsidRDefault="009C00F3">
            <w:pPr>
              <w:pStyle w:val="TableParagraph"/>
              <w:spacing w:before="118"/>
              <w:ind w:left="158" w:right="115"/>
              <w:rPr>
                <w:sz w:val="24"/>
              </w:rPr>
            </w:pPr>
            <w:r>
              <w:rPr>
                <w:sz w:val="24"/>
              </w:rPr>
              <w:t>39.25</w:t>
            </w:r>
          </w:p>
        </w:tc>
        <w:tc>
          <w:tcPr>
            <w:tcW w:w="869" w:type="dxa"/>
          </w:tcPr>
          <w:p w:rsidR="001B105C" w:rsidRDefault="009C00F3">
            <w:pPr>
              <w:pStyle w:val="TableParagraph"/>
              <w:spacing w:before="118"/>
              <w:ind w:left="164" w:right="115"/>
              <w:rPr>
                <w:sz w:val="24"/>
              </w:rPr>
            </w:pPr>
            <w:r>
              <w:rPr>
                <w:sz w:val="24"/>
              </w:rPr>
              <w:t>17.93</w:t>
            </w:r>
          </w:p>
        </w:tc>
        <w:tc>
          <w:tcPr>
            <w:tcW w:w="874" w:type="dxa"/>
          </w:tcPr>
          <w:p w:rsidR="001B105C" w:rsidRDefault="009C00F3">
            <w:pPr>
              <w:pStyle w:val="TableParagraph"/>
              <w:spacing w:before="118"/>
              <w:ind w:left="159" w:right="125"/>
              <w:rPr>
                <w:sz w:val="24"/>
              </w:rPr>
            </w:pPr>
            <w:r>
              <w:rPr>
                <w:sz w:val="24"/>
              </w:rPr>
              <w:t>21.32</w:t>
            </w:r>
          </w:p>
        </w:tc>
        <w:tc>
          <w:tcPr>
            <w:tcW w:w="1589" w:type="dxa"/>
          </w:tcPr>
          <w:p w:rsidR="001B105C" w:rsidRDefault="009C00F3">
            <w:pPr>
              <w:pStyle w:val="TableParagraph"/>
              <w:spacing w:before="118"/>
              <w:ind w:left="562" w:right="432"/>
              <w:rPr>
                <w:sz w:val="24"/>
              </w:rPr>
            </w:pPr>
            <w:r>
              <w:rPr>
                <w:sz w:val="24"/>
              </w:rPr>
              <w:t>9.30</w:t>
            </w:r>
          </w:p>
        </w:tc>
      </w:tr>
      <w:tr w:rsidR="001B105C">
        <w:trPr>
          <w:trHeight w:val="633"/>
        </w:trPr>
        <w:tc>
          <w:tcPr>
            <w:tcW w:w="1023" w:type="dxa"/>
          </w:tcPr>
          <w:p w:rsidR="001B105C" w:rsidRDefault="009C00F3">
            <w:pPr>
              <w:pStyle w:val="TableParagraph"/>
              <w:spacing w:before="109"/>
              <w:ind w:right="372"/>
              <w:jc w:val="right"/>
              <w:rPr>
                <w:sz w:val="24"/>
              </w:rPr>
            </w:pPr>
            <w:r>
              <w:rPr>
                <w:sz w:val="24"/>
              </w:rPr>
              <w:t>4</w:t>
            </w:r>
          </w:p>
        </w:tc>
        <w:tc>
          <w:tcPr>
            <w:tcW w:w="1383" w:type="dxa"/>
          </w:tcPr>
          <w:p w:rsidR="001B105C" w:rsidRDefault="009C00F3">
            <w:pPr>
              <w:pStyle w:val="TableParagraph"/>
              <w:spacing w:before="109"/>
              <w:ind w:right="430"/>
              <w:jc w:val="right"/>
              <w:rPr>
                <w:sz w:val="24"/>
              </w:rPr>
            </w:pPr>
            <w:r>
              <w:rPr>
                <w:sz w:val="24"/>
              </w:rPr>
              <w:t>A-6</w:t>
            </w:r>
          </w:p>
        </w:tc>
        <w:tc>
          <w:tcPr>
            <w:tcW w:w="2041" w:type="dxa"/>
          </w:tcPr>
          <w:p w:rsidR="001B105C" w:rsidRDefault="009C00F3">
            <w:pPr>
              <w:pStyle w:val="TableParagraph"/>
              <w:spacing w:line="213" w:lineRule="auto"/>
              <w:ind w:left="494" w:firstLine="288"/>
              <w:jc w:val="left"/>
              <w:rPr>
                <w:sz w:val="24"/>
              </w:rPr>
            </w:pPr>
            <w:r>
              <w:rPr>
                <w:sz w:val="24"/>
              </w:rPr>
              <w:t>Tanah Berlempung</w:t>
            </w:r>
          </w:p>
        </w:tc>
        <w:tc>
          <w:tcPr>
            <w:tcW w:w="720" w:type="dxa"/>
          </w:tcPr>
          <w:p w:rsidR="001B105C" w:rsidRDefault="009C00F3">
            <w:pPr>
              <w:pStyle w:val="TableParagraph"/>
              <w:spacing w:before="109"/>
              <w:ind w:left="106" w:right="143"/>
              <w:rPr>
                <w:sz w:val="24"/>
              </w:rPr>
            </w:pPr>
            <w:r>
              <w:rPr>
                <w:sz w:val="24"/>
              </w:rPr>
              <w:t>2.65</w:t>
            </w:r>
          </w:p>
        </w:tc>
        <w:tc>
          <w:tcPr>
            <w:tcW w:w="864" w:type="dxa"/>
          </w:tcPr>
          <w:p w:rsidR="001B105C" w:rsidRDefault="009C00F3">
            <w:pPr>
              <w:pStyle w:val="TableParagraph"/>
              <w:spacing w:before="109"/>
              <w:ind w:left="158" w:right="115"/>
              <w:rPr>
                <w:sz w:val="24"/>
              </w:rPr>
            </w:pPr>
            <w:r>
              <w:rPr>
                <w:sz w:val="24"/>
              </w:rPr>
              <w:t>39.20</w:t>
            </w:r>
          </w:p>
        </w:tc>
        <w:tc>
          <w:tcPr>
            <w:tcW w:w="869" w:type="dxa"/>
          </w:tcPr>
          <w:p w:rsidR="001B105C" w:rsidRDefault="009C00F3">
            <w:pPr>
              <w:pStyle w:val="TableParagraph"/>
              <w:spacing w:before="109"/>
              <w:ind w:left="164" w:right="115"/>
              <w:rPr>
                <w:sz w:val="24"/>
              </w:rPr>
            </w:pPr>
            <w:r>
              <w:rPr>
                <w:sz w:val="24"/>
              </w:rPr>
              <w:t>19.51</w:t>
            </w:r>
          </w:p>
        </w:tc>
        <w:tc>
          <w:tcPr>
            <w:tcW w:w="874" w:type="dxa"/>
          </w:tcPr>
          <w:p w:rsidR="001B105C" w:rsidRDefault="009C00F3">
            <w:pPr>
              <w:pStyle w:val="TableParagraph"/>
              <w:spacing w:before="109"/>
              <w:ind w:left="159" w:right="125"/>
              <w:rPr>
                <w:sz w:val="24"/>
              </w:rPr>
            </w:pPr>
            <w:r>
              <w:rPr>
                <w:sz w:val="24"/>
              </w:rPr>
              <w:t>19.69</w:t>
            </w:r>
          </w:p>
        </w:tc>
        <w:tc>
          <w:tcPr>
            <w:tcW w:w="1589" w:type="dxa"/>
          </w:tcPr>
          <w:p w:rsidR="001B105C" w:rsidRDefault="009C00F3">
            <w:pPr>
              <w:pStyle w:val="TableParagraph"/>
              <w:spacing w:before="109"/>
              <w:ind w:left="562" w:right="437"/>
              <w:rPr>
                <w:sz w:val="24"/>
              </w:rPr>
            </w:pPr>
            <w:r>
              <w:rPr>
                <w:sz w:val="24"/>
              </w:rPr>
              <w:t>11.75</w:t>
            </w:r>
          </w:p>
        </w:tc>
      </w:tr>
      <w:tr w:rsidR="001B105C">
        <w:trPr>
          <w:trHeight w:val="642"/>
        </w:trPr>
        <w:tc>
          <w:tcPr>
            <w:tcW w:w="1023" w:type="dxa"/>
          </w:tcPr>
          <w:p w:rsidR="001B105C" w:rsidRDefault="009C00F3">
            <w:pPr>
              <w:pStyle w:val="TableParagraph"/>
              <w:spacing w:before="118"/>
              <w:ind w:right="372"/>
              <w:jc w:val="right"/>
              <w:rPr>
                <w:sz w:val="24"/>
              </w:rPr>
            </w:pPr>
            <w:r>
              <w:rPr>
                <w:sz w:val="24"/>
              </w:rPr>
              <w:t>5</w:t>
            </w:r>
          </w:p>
        </w:tc>
        <w:tc>
          <w:tcPr>
            <w:tcW w:w="1383" w:type="dxa"/>
          </w:tcPr>
          <w:p w:rsidR="001B105C" w:rsidRDefault="009C00F3">
            <w:pPr>
              <w:pStyle w:val="TableParagraph"/>
              <w:spacing w:before="118"/>
              <w:ind w:right="430"/>
              <w:jc w:val="right"/>
              <w:rPr>
                <w:sz w:val="24"/>
              </w:rPr>
            </w:pPr>
            <w:r>
              <w:rPr>
                <w:sz w:val="24"/>
              </w:rPr>
              <w:t>A-6</w:t>
            </w:r>
          </w:p>
        </w:tc>
        <w:tc>
          <w:tcPr>
            <w:tcW w:w="2041" w:type="dxa"/>
          </w:tcPr>
          <w:p w:rsidR="001B105C" w:rsidRDefault="009C00F3">
            <w:pPr>
              <w:pStyle w:val="TableParagraph"/>
              <w:spacing w:line="270" w:lineRule="exact"/>
              <w:ind w:right="47"/>
              <w:jc w:val="right"/>
              <w:rPr>
                <w:sz w:val="24"/>
              </w:rPr>
            </w:pPr>
            <w:r>
              <w:rPr>
                <w:sz w:val="24"/>
              </w:rPr>
              <w:t>Tanah Berlempung</w:t>
            </w:r>
          </w:p>
        </w:tc>
        <w:tc>
          <w:tcPr>
            <w:tcW w:w="720" w:type="dxa"/>
          </w:tcPr>
          <w:p w:rsidR="001B105C" w:rsidRDefault="009C00F3">
            <w:pPr>
              <w:pStyle w:val="TableParagraph"/>
              <w:spacing w:before="118"/>
              <w:ind w:left="106" w:right="143"/>
              <w:rPr>
                <w:sz w:val="24"/>
              </w:rPr>
            </w:pPr>
            <w:r>
              <w:rPr>
                <w:sz w:val="24"/>
              </w:rPr>
              <w:t>2.64</w:t>
            </w:r>
          </w:p>
        </w:tc>
        <w:tc>
          <w:tcPr>
            <w:tcW w:w="864" w:type="dxa"/>
          </w:tcPr>
          <w:p w:rsidR="001B105C" w:rsidRDefault="009C00F3">
            <w:pPr>
              <w:pStyle w:val="TableParagraph"/>
              <w:spacing w:before="118"/>
              <w:ind w:left="158" w:right="115"/>
              <w:rPr>
                <w:sz w:val="24"/>
              </w:rPr>
            </w:pPr>
            <w:r>
              <w:rPr>
                <w:sz w:val="24"/>
              </w:rPr>
              <w:t>39.70</w:t>
            </w:r>
          </w:p>
        </w:tc>
        <w:tc>
          <w:tcPr>
            <w:tcW w:w="869" w:type="dxa"/>
          </w:tcPr>
          <w:p w:rsidR="001B105C" w:rsidRDefault="009C00F3">
            <w:pPr>
              <w:pStyle w:val="TableParagraph"/>
              <w:spacing w:before="118"/>
              <w:ind w:left="164" w:right="115"/>
              <w:rPr>
                <w:sz w:val="24"/>
              </w:rPr>
            </w:pPr>
            <w:r>
              <w:rPr>
                <w:sz w:val="24"/>
              </w:rPr>
              <w:t>19.82</w:t>
            </w:r>
          </w:p>
        </w:tc>
        <w:tc>
          <w:tcPr>
            <w:tcW w:w="874" w:type="dxa"/>
          </w:tcPr>
          <w:p w:rsidR="001B105C" w:rsidRDefault="009C00F3">
            <w:pPr>
              <w:pStyle w:val="TableParagraph"/>
              <w:spacing w:before="118"/>
              <w:ind w:left="159" w:right="125"/>
              <w:rPr>
                <w:sz w:val="24"/>
              </w:rPr>
            </w:pPr>
            <w:r>
              <w:rPr>
                <w:sz w:val="24"/>
              </w:rPr>
              <w:t>19.88</w:t>
            </w:r>
          </w:p>
        </w:tc>
        <w:tc>
          <w:tcPr>
            <w:tcW w:w="1589" w:type="dxa"/>
          </w:tcPr>
          <w:p w:rsidR="001B105C" w:rsidRDefault="009C00F3">
            <w:pPr>
              <w:pStyle w:val="TableParagraph"/>
              <w:spacing w:before="118"/>
              <w:ind w:left="562" w:right="437"/>
              <w:rPr>
                <w:sz w:val="24"/>
              </w:rPr>
            </w:pPr>
            <w:r>
              <w:rPr>
                <w:sz w:val="24"/>
              </w:rPr>
              <w:t>13.95</w:t>
            </w:r>
          </w:p>
        </w:tc>
      </w:tr>
      <w:tr w:rsidR="001B105C">
        <w:trPr>
          <w:trHeight w:val="638"/>
        </w:trPr>
        <w:tc>
          <w:tcPr>
            <w:tcW w:w="1023" w:type="dxa"/>
          </w:tcPr>
          <w:p w:rsidR="001B105C" w:rsidRDefault="009C00F3">
            <w:pPr>
              <w:pStyle w:val="TableParagraph"/>
              <w:spacing w:before="109"/>
              <w:ind w:right="372"/>
              <w:jc w:val="right"/>
              <w:rPr>
                <w:sz w:val="24"/>
              </w:rPr>
            </w:pPr>
            <w:r>
              <w:rPr>
                <w:sz w:val="24"/>
              </w:rPr>
              <w:t>6</w:t>
            </w:r>
          </w:p>
        </w:tc>
        <w:tc>
          <w:tcPr>
            <w:tcW w:w="1383" w:type="dxa"/>
          </w:tcPr>
          <w:p w:rsidR="001B105C" w:rsidRDefault="009C00F3">
            <w:pPr>
              <w:pStyle w:val="TableParagraph"/>
              <w:spacing w:before="109"/>
              <w:ind w:right="430"/>
              <w:jc w:val="right"/>
              <w:rPr>
                <w:sz w:val="24"/>
              </w:rPr>
            </w:pPr>
            <w:r>
              <w:rPr>
                <w:sz w:val="24"/>
              </w:rPr>
              <w:t>A-6</w:t>
            </w:r>
          </w:p>
        </w:tc>
        <w:tc>
          <w:tcPr>
            <w:tcW w:w="2041" w:type="dxa"/>
          </w:tcPr>
          <w:p w:rsidR="001B105C" w:rsidRDefault="009C00F3">
            <w:pPr>
              <w:pStyle w:val="TableParagraph"/>
              <w:spacing w:line="213" w:lineRule="auto"/>
              <w:ind w:left="494" w:firstLine="288"/>
              <w:jc w:val="left"/>
              <w:rPr>
                <w:sz w:val="24"/>
              </w:rPr>
            </w:pPr>
            <w:r>
              <w:rPr>
                <w:sz w:val="24"/>
              </w:rPr>
              <w:t>Tanah Berlempung</w:t>
            </w:r>
          </w:p>
        </w:tc>
        <w:tc>
          <w:tcPr>
            <w:tcW w:w="720" w:type="dxa"/>
          </w:tcPr>
          <w:p w:rsidR="001B105C" w:rsidRDefault="009C00F3">
            <w:pPr>
              <w:pStyle w:val="TableParagraph"/>
              <w:spacing w:before="109"/>
              <w:ind w:left="106" w:right="143"/>
              <w:rPr>
                <w:sz w:val="24"/>
              </w:rPr>
            </w:pPr>
            <w:r>
              <w:rPr>
                <w:sz w:val="24"/>
              </w:rPr>
              <w:t>2.86</w:t>
            </w:r>
          </w:p>
        </w:tc>
        <w:tc>
          <w:tcPr>
            <w:tcW w:w="864" w:type="dxa"/>
          </w:tcPr>
          <w:p w:rsidR="001B105C" w:rsidRDefault="009C00F3">
            <w:pPr>
              <w:pStyle w:val="TableParagraph"/>
              <w:spacing w:before="109"/>
              <w:ind w:left="158" w:right="115"/>
              <w:rPr>
                <w:sz w:val="24"/>
              </w:rPr>
            </w:pPr>
            <w:r>
              <w:rPr>
                <w:sz w:val="24"/>
              </w:rPr>
              <w:t>35.31</w:t>
            </w:r>
          </w:p>
        </w:tc>
        <w:tc>
          <w:tcPr>
            <w:tcW w:w="869" w:type="dxa"/>
          </w:tcPr>
          <w:p w:rsidR="001B105C" w:rsidRDefault="009C00F3">
            <w:pPr>
              <w:pStyle w:val="TableParagraph"/>
              <w:spacing w:before="109"/>
              <w:ind w:left="164" w:right="115"/>
              <w:rPr>
                <w:sz w:val="24"/>
              </w:rPr>
            </w:pPr>
            <w:r>
              <w:rPr>
                <w:sz w:val="24"/>
              </w:rPr>
              <w:t>16.57</w:t>
            </w:r>
          </w:p>
        </w:tc>
        <w:tc>
          <w:tcPr>
            <w:tcW w:w="874" w:type="dxa"/>
          </w:tcPr>
          <w:p w:rsidR="001B105C" w:rsidRDefault="009C00F3">
            <w:pPr>
              <w:pStyle w:val="TableParagraph"/>
              <w:spacing w:before="109"/>
              <w:ind w:left="159" w:right="125"/>
              <w:rPr>
                <w:sz w:val="24"/>
              </w:rPr>
            </w:pPr>
            <w:r>
              <w:rPr>
                <w:sz w:val="24"/>
              </w:rPr>
              <w:t>18.74</w:t>
            </w:r>
          </w:p>
        </w:tc>
        <w:tc>
          <w:tcPr>
            <w:tcW w:w="1589" w:type="dxa"/>
          </w:tcPr>
          <w:p w:rsidR="001B105C" w:rsidRDefault="009C00F3">
            <w:pPr>
              <w:pStyle w:val="TableParagraph"/>
              <w:spacing w:before="109"/>
              <w:ind w:left="562" w:right="432"/>
              <w:rPr>
                <w:sz w:val="24"/>
              </w:rPr>
            </w:pPr>
            <w:r>
              <w:rPr>
                <w:sz w:val="24"/>
              </w:rPr>
              <w:t>9.97</w:t>
            </w:r>
          </w:p>
        </w:tc>
      </w:tr>
      <w:tr w:rsidR="001B105C">
        <w:trPr>
          <w:trHeight w:val="638"/>
        </w:trPr>
        <w:tc>
          <w:tcPr>
            <w:tcW w:w="1023" w:type="dxa"/>
          </w:tcPr>
          <w:p w:rsidR="001B105C" w:rsidRDefault="009C00F3">
            <w:pPr>
              <w:pStyle w:val="TableParagraph"/>
              <w:spacing w:before="114"/>
              <w:ind w:right="372"/>
              <w:jc w:val="right"/>
              <w:rPr>
                <w:sz w:val="24"/>
              </w:rPr>
            </w:pPr>
            <w:r>
              <w:rPr>
                <w:sz w:val="24"/>
              </w:rPr>
              <w:t>7</w:t>
            </w:r>
          </w:p>
        </w:tc>
        <w:tc>
          <w:tcPr>
            <w:tcW w:w="1383" w:type="dxa"/>
          </w:tcPr>
          <w:p w:rsidR="001B105C" w:rsidRDefault="009C00F3">
            <w:pPr>
              <w:pStyle w:val="TableParagraph"/>
              <w:spacing w:before="114"/>
              <w:ind w:right="430"/>
              <w:jc w:val="right"/>
              <w:rPr>
                <w:sz w:val="24"/>
              </w:rPr>
            </w:pPr>
            <w:r>
              <w:rPr>
                <w:sz w:val="24"/>
              </w:rPr>
              <w:t>A-6</w:t>
            </w:r>
          </w:p>
        </w:tc>
        <w:tc>
          <w:tcPr>
            <w:tcW w:w="2041" w:type="dxa"/>
          </w:tcPr>
          <w:p w:rsidR="001B105C" w:rsidRDefault="009C00F3">
            <w:pPr>
              <w:pStyle w:val="TableParagraph"/>
              <w:spacing w:line="270" w:lineRule="exact"/>
              <w:ind w:right="47"/>
              <w:jc w:val="right"/>
              <w:rPr>
                <w:sz w:val="24"/>
              </w:rPr>
            </w:pPr>
            <w:r>
              <w:rPr>
                <w:sz w:val="24"/>
              </w:rPr>
              <w:t>Tanah Berlempung</w:t>
            </w:r>
          </w:p>
        </w:tc>
        <w:tc>
          <w:tcPr>
            <w:tcW w:w="720" w:type="dxa"/>
          </w:tcPr>
          <w:p w:rsidR="001B105C" w:rsidRDefault="009C00F3">
            <w:pPr>
              <w:pStyle w:val="TableParagraph"/>
              <w:spacing w:before="114"/>
              <w:ind w:left="106" w:right="143"/>
              <w:rPr>
                <w:sz w:val="24"/>
              </w:rPr>
            </w:pPr>
            <w:r>
              <w:rPr>
                <w:sz w:val="24"/>
              </w:rPr>
              <w:t>2.63</w:t>
            </w:r>
          </w:p>
        </w:tc>
        <w:tc>
          <w:tcPr>
            <w:tcW w:w="864" w:type="dxa"/>
          </w:tcPr>
          <w:p w:rsidR="001B105C" w:rsidRDefault="009C00F3">
            <w:pPr>
              <w:pStyle w:val="TableParagraph"/>
              <w:spacing w:before="114"/>
              <w:ind w:left="158" w:right="115"/>
              <w:rPr>
                <w:sz w:val="24"/>
              </w:rPr>
            </w:pPr>
            <w:r>
              <w:rPr>
                <w:sz w:val="24"/>
              </w:rPr>
              <w:t>35.20</w:t>
            </w:r>
          </w:p>
        </w:tc>
        <w:tc>
          <w:tcPr>
            <w:tcW w:w="869" w:type="dxa"/>
          </w:tcPr>
          <w:p w:rsidR="001B105C" w:rsidRDefault="009C00F3">
            <w:pPr>
              <w:pStyle w:val="TableParagraph"/>
              <w:spacing w:before="114"/>
              <w:ind w:left="164" w:right="115"/>
              <w:rPr>
                <w:sz w:val="24"/>
              </w:rPr>
            </w:pPr>
            <w:r>
              <w:rPr>
                <w:sz w:val="24"/>
              </w:rPr>
              <w:t>16.40</w:t>
            </w:r>
          </w:p>
        </w:tc>
        <w:tc>
          <w:tcPr>
            <w:tcW w:w="874" w:type="dxa"/>
          </w:tcPr>
          <w:p w:rsidR="001B105C" w:rsidRDefault="009C00F3">
            <w:pPr>
              <w:pStyle w:val="TableParagraph"/>
              <w:spacing w:before="114"/>
              <w:ind w:left="159" w:right="125"/>
              <w:rPr>
                <w:sz w:val="24"/>
              </w:rPr>
            </w:pPr>
            <w:r>
              <w:rPr>
                <w:sz w:val="24"/>
              </w:rPr>
              <w:t>18.79</w:t>
            </w:r>
          </w:p>
        </w:tc>
        <w:tc>
          <w:tcPr>
            <w:tcW w:w="1589" w:type="dxa"/>
          </w:tcPr>
          <w:p w:rsidR="001B105C" w:rsidRDefault="009C00F3">
            <w:pPr>
              <w:pStyle w:val="TableParagraph"/>
              <w:spacing w:before="114"/>
              <w:ind w:left="562" w:right="432"/>
              <w:rPr>
                <w:sz w:val="24"/>
              </w:rPr>
            </w:pPr>
            <w:r>
              <w:rPr>
                <w:sz w:val="24"/>
              </w:rPr>
              <w:t>9.99</w:t>
            </w:r>
          </w:p>
        </w:tc>
      </w:tr>
      <w:tr w:rsidR="001B105C">
        <w:trPr>
          <w:trHeight w:val="637"/>
        </w:trPr>
        <w:tc>
          <w:tcPr>
            <w:tcW w:w="1023" w:type="dxa"/>
          </w:tcPr>
          <w:p w:rsidR="001B105C" w:rsidRDefault="009C00F3">
            <w:pPr>
              <w:pStyle w:val="TableParagraph"/>
              <w:spacing w:before="109"/>
              <w:ind w:right="372"/>
              <w:jc w:val="right"/>
              <w:rPr>
                <w:sz w:val="24"/>
              </w:rPr>
            </w:pPr>
            <w:r>
              <w:rPr>
                <w:sz w:val="24"/>
              </w:rPr>
              <w:t>8</w:t>
            </w:r>
          </w:p>
        </w:tc>
        <w:tc>
          <w:tcPr>
            <w:tcW w:w="1383" w:type="dxa"/>
          </w:tcPr>
          <w:p w:rsidR="001B105C" w:rsidRDefault="009C00F3">
            <w:pPr>
              <w:pStyle w:val="TableParagraph"/>
              <w:spacing w:before="109"/>
              <w:ind w:right="430"/>
              <w:jc w:val="right"/>
              <w:rPr>
                <w:sz w:val="24"/>
              </w:rPr>
            </w:pPr>
            <w:r>
              <w:rPr>
                <w:sz w:val="24"/>
              </w:rPr>
              <w:t>A-6</w:t>
            </w:r>
          </w:p>
        </w:tc>
        <w:tc>
          <w:tcPr>
            <w:tcW w:w="2041" w:type="dxa"/>
          </w:tcPr>
          <w:p w:rsidR="001B105C" w:rsidRDefault="009C00F3">
            <w:pPr>
              <w:pStyle w:val="TableParagraph"/>
              <w:spacing w:line="265" w:lineRule="exact"/>
              <w:ind w:right="47"/>
              <w:jc w:val="right"/>
              <w:rPr>
                <w:sz w:val="24"/>
              </w:rPr>
            </w:pPr>
            <w:r>
              <w:rPr>
                <w:sz w:val="24"/>
              </w:rPr>
              <w:t>Tanah Berlempung</w:t>
            </w:r>
          </w:p>
        </w:tc>
        <w:tc>
          <w:tcPr>
            <w:tcW w:w="720" w:type="dxa"/>
          </w:tcPr>
          <w:p w:rsidR="001B105C" w:rsidRDefault="009C00F3">
            <w:pPr>
              <w:pStyle w:val="TableParagraph"/>
              <w:spacing w:before="109"/>
              <w:ind w:left="106" w:right="143"/>
              <w:rPr>
                <w:sz w:val="24"/>
              </w:rPr>
            </w:pPr>
            <w:r>
              <w:rPr>
                <w:sz w:val="24"/>
              </w:rPr>
              <w:t>2.64</w:t>
            </w:r>
          </w:p>
        </w:tc>
        <w:tc>
          <w:tcPr>
            <w:tcW w:w="864" w:type="dxa"/>
          </w:tcPr>
          <w:p w:rsidR="001B105C" w:rsidRDefault="009C00F3">
            <w:pPr>
              <w:pStyle w:val="TableParagraph"/>
              <w:spacing w:before="109"/>
              <w:ind w:left="158" w:right="115"/>
              <w:rPr>
                <w:sz w:val="24"/>
              </w:rPr>
            </w:pPr>
            <w:r>
              <w:rPr>
                <w:sz w:val="24"/>
              </w:rPr>
              <w:t>39.68</w:t>
            </w:r>
          </w:p>
        </w:tc>
        <w:tc>
          <w:tcPr>
            <w:tcW w:w="869" w:type="dxa"/>
          </w:tcPr>
          <w:p w:rsidR="001B105C" w:rsidRDefault="009C00F3">
            <w:pPr>
              <w:pStyle w:val="TableParagraph"/>
              <w:spacing w:before="109"/>
              <w:ind w:left="164" w:right="115"/>
              <w:rPr>
                <w:sz w:val="24"/>
              </w:rPr>
            </w:pPr>
            <w:r>
              <w:rPr>
                <w:sz w:val="24"/>
              </w:rPr>
              <w:t>17.30</w:t>
            </w:r>
          </w:p>
        </w:tc>
        <w:tc>
          <w:tcPr>
            <w:tcW w:w="874" w:type="dxa"/>
          </w:tcPr>
          <w:p w:rsidR="001B105C" w:rsidRDefault="009C00F3">
            <w:pPr>
              <w:pStyle w:val="TableParagraph"/>
              <w:spacing w:before="109"/>
              <w:ind w:left="159" w:right="125"/>
              <w:rPr>
                <w:sz w:val="24"/>
              </w:rPr>
            </w:pPr>
            <w:r>
              <w:rPr>
                <w:sz w:val="24"/>
              </w:rPr>
              <w:t>22.38</w:t>
            </w:r>
          </w:p>
        </w:tc>
        <w:tc>
          <w:tcPr>
            <w:tcW w:w="1589" w:type="dxa"/>
          </w:tcPr>
          <w:p w:rsidR="001B105C" w:rsidRDefault="009C00F3">
            <w:pPr>
              <w:pStyle w:val="TableParagraph"/>
              <w:spacing w:before="109"/>
              <w:ind w:left="562" w:right="432"/>
              <w:rPr>
                <w:sz w:val="24"/>
              </w:rPr>
            </w:pPr>
            <w:r>
              <w:rPr>
                <w:sz w:val="24"/>
              </w:rPr>
              <w:t>7.54</w:t>
            </w:r>
          </w:p>
        </w:tc>
      </w:tr>
    </w:tbl>
    <w:p w:rsidR="001B105C" w:rsidRDefault="009C00F3">
      <w:pPr>
        <w:pStyle w:val="BodyText"/>
        <w:spacing w:line="362" w:lineRule="auto"/>
        <w:ind w:left="1186" w:right="1357"/>
        <w:jc w:val="both"/>
      </w:pPr>
      <w:r>
        <w:t xml:space="preserve">Dari 8 quarry di atas, tanah quarry </w:t>
      </w:r>
      <w:r>
        <w:rPr>
          <w:spacing w:val="-3"/>
        </w:rPr>
        <w:t xml:space="preserve">yang </w:t>
      </w:r>
      <w:r>
        <w:t>memenuhi persyaratan sebagai tanah timbunan</w:t>
      </w:r>
      <w:r>
        <w:rPr>
          <w:spacing w:val="-4"/>
        </w:rPr>
        <w:t xml:space="preserve"> </w:t>
      </w:r>
      <w:r>
        <w:t>biasa</w:t>
      </w:r>
      <w:r>
        <w:rPr>
          <w:spacing w:val="4"/>
        </w:rPr>
        <w:t xml:space="preserve"> </w:t>
      </w:r>
      <w:r>
        <w:t>adalah</w:t>
      </w:r>
      <w:r>
        <w:rPr>
          <w:spacing w:val="-12"/>
        </w:rPr>
        <w:t xml:space="preserve"> </w:t>
      </w:r>
      <w:r>
        <w:t>tanah</w:t>
      </w:r>
      <w:r>
        <w:rPr>
          <w:spacing w:val="-13"/>
        </w:rPr>
        <w:t xml:space="preserve"> </w:t>
      </w:r>
      <w:r>
        <w:t>quarry</w:t>
      </w:r>
      <w:r>
        <w:rPr>
          <w:spacing w:val="-22"/>
        </w:rPr>
        <w:t xml:space="preserve"> </w:t>
      </w:r>
      <w:r>
        <w:t>1,4,5,6</w:t>
      </w:r>
      <w:r>
        <w:rPr>
          <w:spacing w:val="1"/>
        </w:rPr>
        <w:t xml:space="preserve"> </w:t>
      </w:r>
      <w:r>
        <w:t>dan</w:t>
      </w:r>
      <w:r>
        <w:rPr>
          <w:spacing w:val="-13"/>
        </w:rPr>
        <w:t xml:space="preserve"> </w:t>
      </w:r>
      <w:r>
        <w:t>7</w:t>
      </w:r>
      <w:r>
        <w:rPr>
          <w:spacing w:val="-5"/>
        </w:rPr>
        <w:t xml:space="preserve"> </w:t>
      </w:r>
      <w:r>
        <w:t>karena</w:t>
      </w:r>
      <w:r>
        <w:rPr>
          <w:spacing w:val="10"/>
        </w:rPr>
        <w:t xml:space="preserve"> </w:t>
      </w:r>
      <w:r>
        <w:t>memiliki</w:t>
      </w:r>
      <w:r>
        <w:rPr>
          <w:spacing w:val="-3"/>
        </w:rPr>
        <w:t xml:space="preserve"> </w:t>
      </w:r>
      <w:r>
        <w:t>nilai</w:t>
      </w:r>
      <w:r>
        <w:rPr>
          <w:spacing w:val="-17"/>
        </w:rPr>
        <w:t xml:space="preserve"> </w:t>
      </w:r>
      <w:r>
        <w:t>PI</w:t>
      </w:r>
      <w:r>
        <w:rPr>
          <w:spacing w:val="6"/>
        </w:rPr>
        <w:t xml:space="preserve"> </w:t>
      </w:r>
      <w:r>
        <w:t xml:space="preserve">kurang dari 20% dan </w:t>
      </w:r>
      <w:r>
        <w:rPr>
          <w:spacing w:val="-3"/>
        </w:rPr>
        <w:t xml:space="preserve">memiliki </w:t>
      </w:r>
      <w:r>
        <w:t xml:space="preserve">nilai CBR </w:t>
      </w:r>
      <w:r>
        <w:rPr>
          <w:spacing w:val="-3"/>
        </w:rPr>
        <w:t xml:space="preserve">lebih </w:t>
      </w:r>
      <w:r>
        <w:t>dari 6%. Untuk desain yang</w:t>
      </w:r>
      <w:r>
        <w:rPr>
          <w:spacing w:val="-21"/>
        </w:rPr>
        <w:t xml:space="preserve"> </w:t>
      </w:r>
      <w:r>
        <w:t>konservatif</w:t>
      </w:r>
    </w:p>
    <w:p w:rsidR="001B105C" w:rsidRDefault="001B105C">
      <w:pPr>
        <w:spacing w:line="362" w:lineRule="auto"/>
        <w:jc w:val="both"/>
        <w:sectPr w:rsidR="001B105C">
          <w:pgSz w:w="11910" w:h="16840"/>
          <w:pgMar w:top="1160" w:right="500" w:bottom="280" w:left="1080" w:header="318" w:footer="0" w:gutter="0"/>
          <w:cols w:space="720"/>
        </w:sectPr>
      </w:pPr>
    </w:p>
    <w:p w:rsidR="001B105C" w:rsidRDefault="009C00F3">
      <w:pPr>
        <w:pStyle w:val="BodyText"/>
        <w:spacing w:before="177" w:line="360" w:lineRule="auto"/>
        <w:ind w:left="1186" w:right="1119"/>
      </w:pPr>
      <w:r>
        <w:lastRenderedPageBreak/>
        <w:t>maka tanah timbunan merupakan tanah clay dengan kondisi undrained dan memiliki nilai cu sebesar 60 kPa.</w:t>
      </w:r>
    </w:p>
    <w:p w:rsidR="001B105C" w:rsidRDefault="009C00F3">
      <w:pPr>
        <w:pStyle w:val="Heading1"/>
        <w:spacing w:before="176"/>
        <w:ind w:left="1186"/>
      </w:pPr>
      <w:r>
        <w:t>Analisis Beban Gempa</w:t>
      </w:r>
    </w:p>
    <w:p w:rsidR="001B105C" w:rsidRDefault="009C00F3">
      <w:pPr>
        <w:pStyle w:val="BodyText"/>
        <w:spacing w:before="136" w:line="367" w:lineRule="auto"/>
        <w:ind w:left="1181" w:right="2457"/>
      </w:pPr>
      <w:r>
        <w:t>Perhitungan</w:t>
      </w:r>
      <w:r>
        <w:t xml:space="preserve"> beban gempa didasarkan pada Peta Gempa tahun 2017. Gambar petagempa dapat dilihat pada gambar berikut.</w:t>
      </w:r>
    </w:p>
    <w:p w:rsidR="001B105C" w:rsidRDefault="009C00F3">
      <w:pPr>
        <w:pStyle w:val="BodyText"/>
        <w:spacing w:before="3"/>
        <w:rPr>
          <w:sz w:val="29"/>
        </w:rPr>
      </w:pPr>
      <w:r>
        <w:rPr>
          <w:noProof/>
          <w:lang w:val="en-US"/>
        </w:rPr>
        <w:drawing>
          <wp:anchor distT="0" distB="0" distL="0" distR="0" simplePos="0" relativeHeight="26" behindDoc="0" locked="0" layoutInCell="1" allowOverlap="1">
            <wp:simplePos x="0" y="0"/>
            <wp:positionH relativeFrom="page">
              <wp:posOffset>1213485</wp:posOffset>
            </wp:positionH>
            <wp:positionV relativeFrom="paragraph">
              <wp:posOffset>238558</wp:posOffset>
            </wp:positionV>
            <wp:extent cx="5130893" cy="3491293"/>
            <wp:effectExtent l="0" t="0" r="0" b="0"/>
            <wp:wrapTopAndBottom/>
            <wp:docPr id="1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png"/>
                    <pic:cNvPicPr/>
                  </pic:nvPicPr>
                  <pic:blipFill>
                    <a:blip r:embed="rId28" cstate="print"/>
                    <a:stretch>
                      <a:fillRect/>
                    </a:stretch>
                  </pic:blipFill>
                  <pic:spPr>
                    <a:xfrm>
                      <a:off x="0" y="0"/>
                      <a:ext cx="5130893" cy="3491293"/>
                    </a:xfrm>
                    <a:prstGeom prst="rect">
                      <a:avLst/>
                    </a:prstGeom>
                  </pic:spPr>
                </pic:pic>
              </a:graphicData>
            </a:graphic>
          </wp:anchor>
        </w:drawing>
      </w:r>
    </w:p>
    <w:p w:rsidR="001B105C" w:rsidRDefault="009C00F3">
      <w:pPr>
        <w:pStyle w:val="BodyText"/>
        <w:ind w:left="3395"/>
        <w:jc w:val="both"/>
      </w:pPr>
      <w:r>
        <w:t>Gambar 4.3 Peta Gempa Tahun 2017</w:t>
      </w:r>
    </w:p>
    <w:p w:rsidR="001B105C" w:rsidRDefault="009C00F3">
      <w:pPr>
        <w:pStyle w:val="BodyText"/>
        <w:spacing w:before="137" w:line="360" w:lineRule="auto"/>
        <w:ind w:left="1186" w:right="1210"/>
        <w:jc w:val="both"/>
      </w:pPr>
      <w:r>
        <w:t>Dengan jenis tanah permukaan mayoritas termasuk kelas SE, maka perhitungan beban gempa di permukaan adalah sebesar 0.</w:t>
      </w:r>
      <w:r>
        <w:t>2625 untuk STA 0+000 – 15+100. Untuk analisis selanjutnya beban gempa yang dipakai adalah setengah dari beban gempa permukaan (0.15 g) dengan angka keamananan minimum pada kondisi gempa 1.1.</w:t>
      </w:r>
    </w:p>
    <w:p w:rsidR="001B105C" w:rsidRDefault="009C00F3">
      <w:pPr>
        <w:pStyle w:val="Heading1"/>
        <w:spacing w:before="124" w:line="362" w:lineRule="auto"/>
        <w:ind w:left="1186" w:right="1358"/>
        <w:jc w:val="both"/>
      </w:pPr>
      <w:bookmarkStart w:id="12" w:name="Analisis_Stabilitas_Tanah_Timbunan,_Kele"/>
      <w:bookmarkEnd w:id="12"/>
      <w:r>
        <w:rPr>
          <w:color w:val="233E5F"/>
        </w:rPr>
        <w:t>Analisis Stabilitas Tanah Timbunan, Kelerengan Timbunan, Kemantap</w:t>
      </w:r>
      <w:r>
        <w:rPr>
          <w:color w:val="233E5F"/>
        </w:rPr>
        <w:t>an Lereng Galian dan Timbunan</w:t>
      </w:r>
    </w:p>
    <w:p w:rsidR="001B105C" w:rsidRDefault="009C00F3">
      <w:pPr>
        <w:pStyle w:val="BodyText"/>
        <w:spacing w:before="45" w:line="360" w:lineRule="auto"/>
        <w:ind w:left="1186" w:right="1188" w:firstLine="720"/>
        <w:jc w:val="both"/>
      </w:pPr>
      <w:r>
        <w:t>Analisis stabilitas dilakukan dengan parameter tanah mengacu pada</w:t>
      </w:r>
      <w:r>
        <w:rPr>
          <w:spacing w:val="-24"/>
        </w:rPr>
        <w:t xml:space="preserve"> </w:t>
      </w:r>
      <w:r>
        <w:t xml:space="preserve">subbab 4.1.1, material timbunan mengacu pada subbab 4.1.2., dan tinggi timbunan </w:t>
      </w:r>
      <w:r>
        <w:rPr>
          <w:spacing w:val="2"/>
        </w:rPr>
        <w:t xml:space="preserve">dan </w:t>
      </w:r>
      <w:r>
        <w:t>galian mengacu pada desain</w:t>
      </w:r>
      <w:r>
        <w:rPr>
          <w:spacing w:val="11"/>
        </w:rPr>
        <w:t xml:space="preserve"> </w:t>
      </w:r>
      <w:r>
        <w:t>perencanaan.</w:t>
      </w:r>
    </w:p>
    <w:p w:rsidR="001B105C" w:rsidRDefault="001B105C">
      <w:pPr>
        <w:spacing w:line="360" w:lineRule="auto"/>
        <w:jc w:val="both"/>
        <w:sectPr w:rsidR="001B105C">
          <w:pgSz w:w="11910" w:h="16840"/>
          <w:pgMar w:top="1160" w:right="500" w:bottom="280" w:left="1080" w:header="318" w:footer="0" w:gutter="0"/>
          <w:cols w:space="720"/>
        </w:sectPr>
      </w:pPr>
    </w:p>
    <w:p w:rsidR="001B105C" w:rsidRDefault="001B105C">
      <w:pPr>
        <w:pStyle w:val="BodyText"/>
        <w:rPr>
          <w:sz w:val="20"/>
        </w:rPr>
      </w:pPr>
    </w:p>
    <w:p w:rsidR="001B105C" w:rsidRDefault="001B105C">
      <w:pPr>
        <w:pStyle w:val="BodyText"/>
        <w:spacing w:before="2"/>
        <w:rPr>
          <w:sz w:val="22"/>
        </w:rPr>
      </w:pPr>
    </w:p>
    <w:p w:rsidR="001B105C" w:rsidRDefault="009C00F3">
      <w:pPr>
        <w:pStyle w:val="BodyText"/>
        <w:spacing w:before="90" w:line="360" w:lineRule="auto"/>
        <w:ind w:left="1685" w:right="1788" w:firstLine="720"/>
        <w:jc w:val="both"/>
      </w:pPr>
      <w:r>
        <w:t xml:space="preserve">Analisis dilakukan dengan bantuan program keseimbangan gaya dengan 2 (dua) tipe analisis </w:t>
      </w:r>
      <w:r>
        <w:rPr>
          <w:spacing w:val="-3"/>
        </w:rPr>
        <w:t xml:space="preserve">yaitu </w:t>
      </w:r>
      <w:r>
        <w:t>kondisi statik/operasional dan maksimum</w:t>
      </w:r>
      <w:r>
        <w:rPr>
          <w:spacing w:val="-17"/>
        </w:rPr>
        <w:t xml:space="preserve"> </w:t>
      </w:r>
      <w:r>
        <w:t>(gempa).</w:t>
      </w:r>
    </w:p>
    <w:p w:rsidR="001B105C" w:rsidRDefault="009C00F3">
      <w:pPr>
        <w:pStyle w:val="BodyText"/>
        <w:spacing w:before="2" w:line="360" w:lineRule="auto"/>
        <w:ind w:left="1685" w:right="1803"/>
        <w:jc w:val="both"/>
      </w:pPr>
      <w:r>
        <w:t>Hasil analisis stabilitas galian setiap kelompok tanah dapat  dilihat pada subbab</w:t>
      </w:r>
      <w:r>
        <w:rPr>
          <w:spacing w:val="-34"/>
        </w:rPr>
        <w:t xml:space="preserve"> </w:t>
      </w:r>
      <w:r>
        <w:t>berikut</w:t>
      </w:r>
    </w:p>
    <w:p w:rsidR="001B105C" w:rsidRDefault="001B105C">
      <w:pPr>
        <w:pStyle w:val="BodyText"/>
        <w:spacing w:before="2"/>
        <w:rPr>
          <w:sz w:val="36"/>
        </w:rPr>
      </w:pPr>
    </w:p>
    <w:p w:rsidR="001B105C" w:rsidRDefault="009C00F3">
      <w:pPr>
        <w:pStyle w:val="Heading1"/>
        <w:ind w:left="1685"/>
        <w:jc w:val="both"/>
      </w:pPr>
      <w:r>
        <w:t>Rangkuman Hasil Perhi</w:t>
      </w:r>
      <w:r>
        <w:t>tungan</w:t>
      </w:r>
    </w:p>
    <w:p w:rsidR="001B105C" w:rsidRDefault="001B105C">
      <w:pPr>
        <w:pStyle w:val="BodyText"/>
        <w:spacing w:before="8"/>
        <w:rPr>
          <w:b/>
          <w:sz w:val="22"/>
        </w:rPr>
      </w:pPr>
    </w:p>
    <w:p w:rsidR="001B105C" w:rsidRDefault="009C00F3">
      <w:pPr>
        <w:pStyle w:val="BodyText"/>
        <w:ind w:left="3698"/>
      </w:pPr>
      <w:r>
        <w:t>Tabel 4.4 Rangkuman Hasil Perhitungan</w:t>
      </w:r>
    </w:p>
    <w:p w:rsidR="001B105C" w:rsidRDefault="001B105C">
      <w:pPr>
        <w:pStyle w:val="BodyText"/>
        <w:rPr>
          <w:sz w:val="26"/>
        </w:rPr>
      </w:pPr>
    </w:p>
    <w:tbl>
      <w:tblPr>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1393"/>
        <w:gridCol w:w="985"/>
        <w:gridCol w:w="1139"/>
        <w:gridCol w:w="2709"/>
        <w:gridCol w:w="832"/>
        <w:gridCol w:w="1139"/>
      </w:tblGrid>
      <w:tr w:rsidR="001B105C">
        <w:trPr>
          <w:trHeight w:val="321"/>
        </w:trPr>
        <w:tc>
          <w:tcPr>
            <w:tcW w:w="1268" w:type="dxa"/>
            <w:vMerge w:val="restart"/>
            <w:shd w:val="clear" w:color="auto" w:fill="9BC2E6"/>
          </w:tcPr>
          <w:p w:rsidR="001B105C" w:rsidRDefault="001B105C">
            <w:pPr>
              <w:pStyle w:val="TableParagraph"/>
              <w:jc w:val="left"/>
              <w:rPr>
                <w:sz w:val="26"/>
              </w:rPr>
            </w:pPr>
          </w:p>
          <w:p w:rsidR="001B105C" w:rsidRDefault="009C00F3">
            <w:pPr>
              <w:pStyle w:val="TableParagraph"/>
              <w:spacing w:before="226"/>
              <w:ind w:left="431"/>
              <w:jc w:val="left"/>
              <w:rPr>
                <w:sz w:val="24"/>
              </w:rPr>
            </w:pPr>
            <w:r>
              <w:rPr>
                <w:sz w:val="24"/>
              </w:rPr>
              <w:t>STA</w:t>
            </w:r>
          </w:p>
        </w:tc>
        <w:tc>
          <w:tcPr>
            <w:tcW w:w="1393" w:type="dxa"/>
            <w:vMerge w:val="restart"/>
            <w:shd w:val="clear" w:color="auto" w:fill="9BC2E6"/>
          </w:tcPr>
          <w:p w:rsidR="001B105C" w:rsidRDefault="001B105C">
            <w:pPr>
              <w:pStyle w:val="TableParagraph"/>
              <w:spacing w:before="2"/>
              <w:jc w:val="left"/>
            </w:pPr>
          </w:p>
          <w:p w:rsidR="001B105C" w:rsidRDefault="009C00F3">
            <w:pPr>
              <w:pStyle w:val="TableParagraph"/>
              <w:ind w:left="273" w:firstLine="153"/>
              <w:jc w:val="left"/>
              <w:rPr>
                <w:sz w:val="24"/>
              </w:rPr>
            </w:pPr>
            <w:r>
              <w:rPr>
                <w:sz w:val="24"/>
              </w:rPr>
              <w:t>Tinggi Timbunan</w:t>
            </w:r>
          </w:p>
        </w:tc>
        <w:tc>
          <w:tcPr>
            <w:tcW w:w="2124" w:type="dxa"/>
            <w:gridSpan w:val="2"/>
            <w:shd w:val="clear" w:color="auto" w:fill="9BC2E6"/>
          </w:tcPr>
          <w:p w:rsidR="001B105C" w:rsidRDefault="009C00F3">
            <w:pPr>
              <w:pStyle w:val="TableParagraph"/>
              <w:spacing w:before="20"/>
              <w:ind w:left="215"/>
              <w:jc w:val="left"/>
              <w:rPr>
                <w:sz w:val="24"/>
              </w:rPr>
            </w:pPr>
            <w:r>
              <w:rPr>
                <w:sz w:val="24"/>
              </w:rPr>
              <w:t>Pra Penanganan</w:t>
            </w:r>
          </w:p>
        </w:tc>
        <w:tc>
          <w:tcPr>
            <w:tcW w:w="2709" w:type="dxa"/>
            <w:vMerge w:val="restart"/>
            <w:shd w:val="clear" w:color="auto" w:fill="9BC2E6"/>
          </w:tcPr>
          <w:p w:rsidR="001B105C" w:rsidRDefault="001B105C">
            <w:pPr>
              <w:pStyle w:val="TableParagraph"/>
              <w:jc w:val="left"/>
              <w:rPr>
                <w:sz w:val="26"/>
              </w:rPr>
            </w:pPr>
          </w:p>
          <w:p w:rsidR="001B105C" w:rsidRDefault="009C00F3">
            <w:pPr>
              <w:pStyle w:val="TableParagraph"/>
              <w:spacing w:before="226"/>
              <w:ind w:left="520"/>
              <w:jc w:val="left"/>
              <w:rPr>
                <w:sz w:val="24"/>
              </w:rPr>
            </w:pPr>
            <w:r>
              <w:rPr>
                <w:sz w:val="24"/>
              </w:rPr>
              <w:t>Penanganan RTA</w:t>
            </w:r>
          </w:p>
        </w:tc>
        <w:tc>
          <w:tcPr>
            <w:tcW w:w="1971" w:type="dxa"/>
            <w:gridSpan w:val="2"/>
            <w:shd w:val="clear" w:color="auto" w:fill="9BC2E6"/>
          </w:tcPr>
          <w:p w:rsidR="001B105C" w:rsidRDefault="009C00F3">
            <w:pPr>
              <w:pStyle w:val="TableParagraph"/>
              <w:spacing w:before="20"/>
              <w:ind w:left="135"/>
              <w:jc w:val="left"/>
              <w:rPr>
                <w:sz w:val="24"/>
              </w:rPr>
            </w:pPr>
            <w:r>
              <w:rPr>
                <w:sz w:val="24"/>
              </w:rPr>
              <w:t>Pasca Penanganan</w:t>
            </w:r>
          </w:p>
        </w:tc>
      </w:tr>
      <w:tr w:rsidR="001B105C">
        <w:trPr>
          <w:trHeight w:val="657"/>
        </w:trPr>
        <w:tc>
          <w:tcPr>
            <w:tcW w:w="1268" w:type="dxa"/>
            <w:vMerge/>
            <w:tcBorders>
              <w:top w:val="nil"/>
            </w:tcBorders>
            <w:shd w:val="clear" w:color="auto" w:fill="9BC2E6"/>
          </w:tcPr>
          <w:p w:rsidR="001B105C" w:rsidRDefault="001B105C">
            <w:pPr>
              <w:rPr>
                <w:sz w:val="2"/>
                <w:szCs w:val="2"/>
              </w:rPr>
            </w:pPr>
          </w:p>
        </w:tc>
        <w:tc>
          <w:tcPr>
            <w:tcW w:w="1393" w:type="dxa"/>
            <w:vMerge/>
            <w:tcBorders>
              <w:top w:val="nil"/>
            </w:tcBorders>
            <w:shd w:val="clear" w:color="auto" w:fill="9BC2E6"/>
          </w:tcPr>
          <w:p w:rsidR="001B105C" w:rsidRDefault="001B105C">
            <w:pPr>
              <w:rPr>
                <w:sz w:val="2"/>
                <w:szCs w:val="2"/>
              </w:rPr>
            </w:pPr>
          </w:p>
        </w:tc>
        <w:tc>
          <w:tcPr>
            <w:tcW w:w="985" w:type="dxa"/>
            <w:vMerge w:val="restart"/>
            <w:shd w:val="clear" w:color="auto" w:fill="9BC2E6"/>
          </w:tcPr>
          <w:p w:rsidR="001B105C" w:rsidRDefault="001B105C">
            <w:pPr>
              <w:pStyle w:val="TableParagraph"/>
              <w:spacing w:before="3"/>
              <w:jc w:val="left"/>
            </w:pPr>
          </w:p>
          <w:p w:rsidR="001B105C" w:rsidRDefault="009C00F3">
            <w:pPr>
              <w:pStyle w:val="TableParagraph"/>
              <w:ind w:left="192" w:right="171"/>
              <w:rPr>
                <w:sz w:val="24"/>
              </w:rPr>
            </w:pPr>
            <w:r>
              <w:rPr>
                <w:sz w:val="24"/>
              </w:rPr>
              <w:t>SF</w:t>
            </w:r>
          </w:p>
          <w:p w:rsidR="001B105C" w:rsidRDefault="009C00F3">
            <w:pPr>
              <w:pStyle w:val="TableParagraph"/>
              <w:spacing w:before="2"/>
              <w:ind w:left="192" w:right="181"/>
              <w:rPr>
                <w:sz w:val="24"/>
              </w:rPr>
            </w:pPr>
            <w:r>
              <w:rPr>
                <w:sz w:val="24"/>
              </w:rPr>
              <w:t>Statik</w:t>
            </w:r>
          </w:p>
        </w:tc>
        <w:tc>
          <w:tcPr>
            <w:tcW w:w="1139" w:type="dxa"/>
            <w:vMerge w:val="restart"/>
            <w:shd w:val="clear" w:color="auto" w:fill="9BC2E6"/>
          </w:tcPr>
          <w:p w:rsidR="001B105C" w:rsidRDefault="001B105C">
            <w:pPr>
              <w:pStyle w:val="TableParagraph"/>
              <w:spacing w:before="3"/>
              <w:jc w:val="left"/>
            </w:pPr>
          </w:p>
          <w:p w:rsidR="001B105C" w:rsidRDefault="009C00F3">
            <w:pPr>
              <w:pStyle w:val="TableParagraph"/>
              <w:ind w:left="197" w:right="178"/>
              <w:rPr>
                <w:sz w:val="24"/>
              </w:rPr>
            </w:pPr>
            <w:r>
              <w:rPr>
                <w:sz w:val="24"/>
              </w:rPr>
              <w:t>SF</w:t>
            </w:r>
          </w:p>
          <w:p w:rsidR="001B105C" w:rsidRDefault="009C00F3">
            <w:pPr>
              <w:pStyle w:val="TableParagraph"/>
              <w:spacing w:before="2"/>
              <w:ind w:left="197" w:right="182"/>
              <w:rPr>
                <w:sz w:val="24"/>
              </w:rPr>
            </w:pPr>
            <w:r>
              <w:rPr>
                <w:sz w:val="24"/>
              </w:rPr>
              <w:t>Gempa</w:t>
            </w:r>
          </w:p>
        </w:tc>
        <w:tc>
          <w:tcPr>
            <w:tcW w:w="2709" w:type="dxa"/>
            <w:vMerge/>
            <w:tcBorders>
              <w:top w:val="nil"/>
            </w:tcBorders>
            <w:shd w:val="clear" w:color="auto" w:fill="9BC2E6"/>
          </w:tcPr>
          <w:p w:rsidR="001B105C" w:rsidRDefault="001B105C">
            <w:pPr>
              <w:rPr>
                <w:sz w:val="2"/>
                <w:szCs w:val="2"/>
              </w:rPr>
            </w:pPr>
          </w:p>
        </w:tc>
        <w:tc>
          <w:tcPr>
            <w:tcW w:w="832" w:type="dxa"/>
            <w:vMerge w:val="restart"/>
            <w:shd w:val="clear" w:color="auto" w:fill="9BC2E6"/>
          </w:tcPr>
          <w:p w:rsidR="001B105C" w:rsidRDefault="001B105C">
            <w:pPr>
              <w:pStyle w:val="TableParagraph"/>
              <w:spacing w:before="3"/>
              <w:jc w:val="left"/>
            </w:pPr>
          </w:p>
          <w:p w:rsidR="001B105C" w:rsidRDefault="009C00F3">
            <w:pPr>
              <w:pStyle w:val="TableParagraph"/>
              <w:ind w:left="118" w:right="83"/>
              <w:rPr>
                <w:sz w:val="24"/>
              </w:rPr>
            </w:pPr>
            <w:r>
              <w:rPr>
                <w:sz w:val="24"/>
              </w:rPr>
              <w:t>SF</w:t>
            </w:r>
          </w:p>
          <w:p w:rsidR="001B105C" w:rsidRDefault="009C00F3">
            <w:pPr>
              <w:pStyle w:val="TableParagraph"/>
              <w:spacing w:before="2"/>
              <w:ind w:left="118" w:right="103"/>
              <w:rPr>
                <w:sz w:val="24"/>
              </w:rPr>
            </w:pPr>
            <w:r>
              <w:rPr>
                <w:sz w:val="24"/>
              </w:rPr>
              <w:t>Statik</w:t>
            </w:r>
          </w:p>
        </w:tc>
        <w:tc>
          <w:tcPr>
            <w:tcW w:w="1139" w:type="dxa"/>
            <w:vMerge w:val="restart"/>
            <w:shd w:val="clear" w:color="auto" w:fill="9BC2E6"/>
          </w:tcPr>
          <w:p w:rsidR="001B105C" w:rsidRDefault="001B105C">
            <w:pPr>
              <w:pStyle w:val="TableParagraph"/>
              <w:spacing w:before="3"/>
              <w:jc w:val="left"/>
            </w:pPr>
          </w:p>
          <w:p w:rsidR="001B105C" w:rsidRDefault="009C00F3">
            <w:pPr>
              <w:pStyle w:val="TableParagraph"/>
              <w:ind w:left="197" w:right="174"/>
              <w:rPr>
                <w:sz w:val="24"/>
              </w:rPr>
            </w:pPr>
            <w:r>
              <w:rPr>
                <w:sz w:val="24"/>
              </w:rPr>
              <w:t>SF</w:t>
            </w:r>
          </w:p>
          <w:p w:rsidR="001B105C" w:rsidRDefault="009C00F3">
            <w:pPr>
              <w:pStyle w:val="TableParagraph"/>
              <w:spacing w:before="2"/>
              <w:ind w:left="190" w:right="190"/>
              <w:rPr>
                <w:sz w:val="24"/>
              </w:rPr>
            </w:pPr>
            <w:r>
              <w:rPr>
                <w:sz w:val="24"/>
              </w:rPr>
              <w:t>Gempa</w:t>
            </w:r>
          </w:p>
        </w:tc>
      </w:tr>
      <w:tr w:rsidR="001B105C">
        <w:trPr>
          <w:trHeight w:val="330"/>
        </w:trPr>
        <w:tc>
          <w:tcPr>
            <w:tcW w:w="1268" w:type="dxa"/>
            <w:vMerge/>
            <w:tcBorders>
              <w:top w:val="nil"/>
            </w:tcBorders>
            <w:shd w:val="clear" w:color="auto" w:fill="9BC2E6"/>
          </w:tcPr>
          <w:p w:rsidR="001B105C" w:rsidRDefault="001B105C">
            <w:pPr>
              <w:rPr>
                <w:sz w:val="2"/>
                <w:szCs w:val="2"/>
              </w:rPr>
            </w:pPr>
          </w:p>
        </w:tc>
        <w:tc>
          <w:tcPr>
            <w:tcW w:w="1393" w:type="dxa"/>
            <w:shd w:val="clear" w:color="auto" w:fill="9BC2E6"/>
          </w:tcPr>
          <w:p w:rsidR="001B105C" w:rsidRDefault="009C00F3">
            <w:pPr>
              <w:pStyle w:val="TableParagraph"/>
              <w:spacing w:before="30"/>
              <w:ind w:left="443" w:right="438"/>
              <w:rPr>
                <w:sz w:val="24"/>
              </w:rPr>
            </w:pPr>
            <w:r>
              <w:rPr>
                <w:sz w:val="24"/>
              </w:rPr>
              <w:t>(m)</w:t>
            </w:r>
          </w:p>
        </w:tc>
        <w:tc>
          <w:tcPr>
            <w:tcW w:w="985" w:type="dxa"/>
            <w:vMerge/>
            <w:tcBorders>
              <w:top w:val="nil"/>
            </w:tcBorders>
            <w:shd w:val="clear" w:color="auto" w:fill="9BC2E6"/>
          </w:tcPr>
          <w:p w:rsidR="001B105C" w:rsidRDefault="001B105C">
            <w:pPr>
              <w:rPr>
                <w:sz w:val="2"/>
                <w:szCs w:val="2"/>
              </w:rPr>
            </w:pPr>
          </w:p>
        </w:tc>
        <w:tc>
          <w:tcPr>
            <w:tcW w:w="1139" w:type="dxa"/>
            <w:vMerge/>
            <w:tcBorders>
              <w:top w:val="nil"/>
            </w:tcBorders>
            <w:shd w:val="clear" w:color="auto" w:fill="9BC2E6"/>
          </w:tcPr>
          <w:p w:rsidR="001B105C" w:rsidRDefault="001B105C">
            <w:pPr>
              <w:rPr>
                <w:sz w:val="2"/>
                <w:szCs w:val="2"/>
              </w:rPr>
            </w:pPr>
          </w:p>
        </w:tc>
        <w:tc>
          <w:tcPr>
            <w:tcW w:w="2709" w:type="dxa"/>
            <w:vMerge/>
            <w:tcBorders>
              <w:top w:val="nil"/>
            </w:tcBorders>
            <w:shd w:val="clear" w:color="auto" w:fill="9BC2E6"/>
          </w:tcPr>
          <w:p w:rsidR="001B105C" w:rsidRDefault="001B105C">
            <w:pPr>
              <w:rPr>
                <w:sz w:val="2"/>
                <w:szCs w:val="2"/>
              </w:rPr>
            </w:pPr>
          </w:p>
        </w:tc>
        <w:tc>
          <w:tcPr>
            <w:tcW w:w="832" w:type="dxa"/>
            <w:vMerge/>
            <w:tcBorders>
              <w:top w:val="nil"/>
            </w:tcBorders>
            <w:shd w:val="clear" w:color="auto" w:fill="9BC2E6"/>
          </w:tcPr>
          <w:p w:rsidR="001B105C" w:rsidRDefault="001B105C">
            <w:pPr>
              <w:rPr>
                <w:sz w:val="2"/>
                <w:szCs w:val="2"/>
              </w:rPr>
            </w:pPr>
          </w:p>
        </w:tc>
        <w:tc>
          <w:tcPr>
            <w:tcW w:w="1139" w:type="dxa"/>
            <w:vMerge/>
            <w:tcBorders>
              <w:top w:val="nil"/>
            </w:tcBorders>
            <w:shd w:val="clear" w:color="auto" w:fill="9BC2E6"/>
          </w:tcPr>
          <w:p w:rsidR="001B105C" w:rsidRDefault="001B105C">
            <w:pPr>
              <w:rPr>
                <w:sz w:val="2"/>
                <w:szCs w:val="2"/>
              </w:rPr>
            </w:pPr>
          </w:p>
        </w:tc>
      </w:tr>
      <w:tr w:rsidR="001B105C">
        <w:trPr>
          <w:trHeight w:val="330"/>
        </w:trPr>
        <w:tc>
          <w:tcPr>
            <w:tcW w:w="1268" w:type="dxa"/>
          </w:tcPr>
          <w:p w:rsidR="001B105C" w:rsidRDefault="009C00F3">
            <w:pPr>
              <w:pStyle w:val="TableParagraph"/>
              <w:spacing w:before="25"/>
              <w:ind w:left="172"/>
              <w:jc w:val="left"/>
              <w:rPr>
                <w:sz w:val="24"/>
              </w:rPr>
            </w:pPr>
            <w:r>
              <w:rPr>
                <w:sz w:val="24"/>
              </w:rPr>
              <w:t>0+600</w:t>
            </w:r>
          </w:p>
        </w:tc>
        <w:tc>
          <w:tcPr>
            <w:tcW w:w="1393" w:type="dxa"/>
          </w:tcPr>
          <w:p w:rsidR="001B105C" w:rsidRDefault="009C00F3">
            <w:pPr>
              <w:pStyle w:val="TableParagraph"/>
              <w:spacing w:before="25"/>
              <w:ind w:left="484" w:right="438"/>
              <w:rPr>
                <w:sz w:val="24"/>
              </w:rPr>
            </w:pPr>
            <w:r>
              <w:rPr>
                <w:sz w:val="24"/>
              </w:rPr>
              <w:t>3.11</w:t>
            </w:r>
          </w:p>
        </w:tc>
        <w:tc>
          <w:tcPr>
            <w:tcW w:w="985" w:type="dxa"/>
          </w:tcPr>
          <w:p w:rsidR="001B105C" w:rsidRDefault="009C00F3">
            <w:pPr>
              <w:pStyle w:val="TableParagraph"/>
              <w:spacing w:before="25"/>
              <w:ind w:right="260"/>
              <w:jc w:val="right"/>
              <w:rPr>
                <w:sz w:val="24"/>
              </w:rPr>
            </w:pPr>
            <w:r>
              <w:rPr>
                <w:sz w:val="24"/>
              </w:rPr>
              <w:t>1.89</w:t>
            </w:r>
          </w:p>
        </w:tc>
        <w:tc>
          <w:tcPr>
            <w:tcW w:w="1139" w:type="dxa"/>
          </w:tcPr>
          <w:p w:rsidR="001B105C" w:rsidRDefault="009C00F3">
            <w:pPr>
              <w:pStyle w:val="TableParagraph"/>
              <w:spacing w:before="25"/>
              <w:ind w:left="197" w:right="159"/>
              <w:rPr>
                <w:sz w:val="24"/>
              </w:rPr>
            </w:pPr>
            <w:r>
              <w:rPr>
                <w:sz w:val="24"/>
              </w:rPr>
              <w:t>1.06</w:t>
            </w:r>
          </w:p>
        </w:tc>
        <w:tc>
          <w:tcPr>
            <w:tcW w:w="2709" w:type="dxa"/>
          </w:tcPr>
          <w:p w:rsidR="001B105C" w:rsidRDefault="009C00F3">
            <w:pPr>
              <w:pStyle w:val="TableParagraph"/>
              <w:spacing w:before="25"/>
              <w:ind w:left="587"/>
              <w:jc w:val="left"/>
              <w:rPr>
                <w:sz w:val="24"/>
              </w:rPr>
            </w:pPr>
            <w:r>
              <w:rPr>
                <w:sz w:val="24"/>
              </w:rPr>
              <w:t>PVD Preloading</w:t>
            </w:r>
          </w:p>
        </w:tc>
        <w:tc>
          <w:tcPr>
            <w:tcW w:w="832" w:type="dxa"/>
          </w:tcPr>
          <w:p w:rsidR="001B105C" w:rsidRDefault="009C00F3">
            <w:pPr>
              <w:pStyle w:val="TableParagraph"/>
              <w:spacing w:before="25"/>
              <w:ind w:left="118" w:right="83"/>
              <w:rPr>
                <w:sz w:val="24"/>
              </w:rPr>
            </w:pPr>
            <w:r>
              <w:rPr>
                <w:sz w:val="24"/>
              </w:rPr>
              <w:t>2.49</w:t>
            </w:r>
          </w:p>
        </w:tc>
        <w:tc>
          <w:tcPr>
            <w:tcW w:w="1139" w:type="dxa"/>
          </w:tcPr>
          <w:p w:rsidR="001B105C" w:rsidRDefault="009C00F3">
            <w:pPr>
              <w:pStyle w:val="TableParagraph"/>
              <w:spacing w:before="25"/>
              <w:ind w:right="325"/>
              <w:jc w:val="right"/>
              <w:rPr>
                <w:sz w:val="24"/>
              </w:rPr>
            </w:pPr>
            <w:r>
              <w:rPr>
                <w:sz w:val="24"/>
              </w:rPr>
              <w:t>1.36</w:t>
            </w:r>
          </w:p>
        </w:tc>
      </w:tr>
      <w:tr w:rsidR="001B105C">
        <w:trPr>
          <w:trHeight w:val="417"/>
        </w:trPr>
        <w:tc>
          <w:tcPr>
            <w:tcW w:w="1268" w:type="dxa"/>
          </w:tcPr>
          <w:p w:rsidR="001B105C" w:rsidRDefault="009C00F3">
            <w:pPr>
              <w:pStyle w:val="TableParagraph"/>
              <w:spacing w:before="73"/>
              <w:ind w:left="172"/>
              <w:jc w:val="left"/>
              <w:rPr>
                <w:sz w:val="24"/>
              </w:rPr>
            </w:pPr>
            <w:r>
              <w:rPr>
                <w:sz w:val="24"/>
              </w:rPr>
              <w:t>0+800</w:t>
            </w:r>
          </w:p>
        </w:tc>
        <w:tc>
          <w:tcPr>
            <w:tcW w:w="1393" w:type="dxa"/>
          </w:tcPr>
          <w:p w:rsidR="001B105C" w:rsidRDefault="009C00F3">
            <w:pPr>
              <w:pStyle w:val="TableParagraph"/>
              <w:spacing w:before="73"/>
              <w:ind w:left="484" w:right="438"/>
              <w:rPr>
                <w:sz w:val="24"/>
              </w:rPr>
            </w:pPr>
            <w:r>
              <w:rPr>
                <w:sz w:val="24"/>
              </w:rPr>
              <w:t>5.71</w:t>
            </w:r>
          </w:p>
        </w:tc>
        <w:tc>
          <w:tcPr>
            <w:tcW w:w="985" w:type="dxa"/>
          </w:tcPr>
          <w:p w:rsidR="001B105C" w:rsidRDefault="009C00F3">
            <w:pPr>
              <w:pStyle w:val="TableParagraph"/>
              <w:spacing w:before="73"/>
              <w:ind w:right="260"/>
              <w:jc w:val="right"/>
              <w:rPr>
                <w:sz w:val="24"/>
              </w:rPr>
            </w:pPr>
            <w:r>
              <w:rPr>
                <w:sz w:val="24"/>
              </w:rPr>
              <w:t>1.24</w:t>
            </w:r>
          </w:p>
        </w:tc>
        <w:tc>
          <w:tcPr>
            <w:tcW w:w="1139" w:type="dxa"/>
          </w:tcPr>
          <w:p w:rsidR="001B105C" w:rsidRDefault="009C00F3">
            <w:pPr>
              <w:pStyle w:val="TableParagraph"/>
              <w:spacing w:before="73"/>
              <w:ind w:left="197" w:right="159"/>
              <w:rPr>
                <w:sz w:val="24"/>
              </w:rPr>
            </w:pPr>
            <w:r>
              <w:rPr>
                <w:sz w:val="24"/>
              </w:rPr>
              <w:t>0.83</w:t>
            </w:r>
          </w:p>
        </w:tc>
        <w:tc>
          <w:tcPr>
            <w:tcW w:w="2709" w:type="dxa"/>
          </w:tcPr>
          <w:p w:rsidR="001B105C" w:rsidRDefault="009C00F3">
            <w:pPr>
              <w:pStyle w:val="TableParagraph"/>
              <w:spacing w:before="73"/>
              <w:ind w:left="583"/>
              <w:jc w:val="left"/>
              <w:rPr>
                <w:sz w:val="24"/>
              </w:rPr>
            </w:pPr>
            <w:r>
              <w:rPr>
                <w:sz w:val="24"/>
              </w:rPr>
              <w:t>PVD Preloading</w:t>
            </w:r>
          </w:p>
        </w:tc>
        <w:tc>
          <w:tcPr>
            <w:tcW w:w="832" w:type="dxa"/>
          </w:tcPr>
          <w:p w:rsidR="001B105C" w:rsidRDefault="009C00F3">
            <w:pPr>
              <w:pStyle w:val="TableParagraph"/>
              <w:spacing w:line="268" w:lineRule="exact"/>
              <w:ind w:left="118" w:right="83"/>
              <w:rPr>
                <w:sz w:val="24"/>
              </w:rPr>
            </w:pPr>
            <w:r>
              <w:rPr>
                <w:sz w:val="24"/>
              </w:rPr>
              <w:t>2.09</w:t>
            </w:r>
          </w:p>
        </w:tc>
        <w:tc>
          <w:tcPr>
            <w:tcW w:w="1139" w:type="dxa"/>
          </w:tcPr>
          <w:p w:rsidR="001B105C" w:rsidRDefault="009C00F3">
            <w:pPr>
              <w:pStyle w:val="TableParagraph"/>
              <w:spacing w:line="268" w:lineRule="exact"/>
              <w:ind w:right="331"/>
              <w:jc w:val="right"/>
              <w:rPr>
                <w:sz w:val="24"/>
              </w:rPr>
            </w:pPr>
            <w:r>
              <w:rPr>
                <w:sz w:val="24"/>
              </w:rPr>
              <w:t>1.48</w:t>
            </w:r>
          </w:p>
        </w:tc>
      </w:tr>
      <w:tr w:rsidR="001B105C">
        <w:trPr>
          <w:trHeight w:val="427"/>
        </w:trPr>
        <w:tc>
          <w:tcPr>
            <w:tcW w:w="1268" w:type="dxa"/>
          </w:tcPr>
          <w:p w:rsidR="001B105C" w:rsidRDefault="009C00F3">
            <w:pPr>
              <w:pStyle w:val="TableParagraph"/>
              <w:spacing w:before="78"/>
              <w:ind w:left="172"/>
              <w:jc w:val="left"/>
              <w:rPr>
                <w:sz w:val="24"/>
              </w:rPr>
            </w:pPr>
            <w:r>
              <w:rPr>
                <w:sz w:val="24"/>
              </w:rPr>
              <w:t>1+000</w:t>
            </w:r>
          </w:p>
        </w:tc>
        <w:tc>
          <w:tcPr>
            <w:tcW w:w="1393" w:type="dxa"/>
          </w:tcPr>
          <w:p w:rsidR="001B105C" w:rsidRDefault="009C00F3">
            <w:pPr>
              <w:pStyle w:val="TableParagraph"/>
              <w:spacing w:before="78"/>
              <w:ind w:left="484" w:right="438"/>
              <w:rPr>
                <w:sz w:val="24"/>
              </w:rPr>
            </w:pPr>
            <w:r>
              <w:rPr>
                <w:sz w:val="24"/>
              </w:rPr>
              <w:t>6.00</w:t>
            </w:r>
          </w:p>
        </w:tc>
        <w:tc>
          <w:tcPr>
            <w:tcW w:w="985" w:type="dxa"/>
          </w:tcPr>
          <w:p w:rsidR="001B105C" w:rsidRDefault="009C00F3">
            <w:pPr>
              <w:pStyle w:val="TableParagraph"/>
              <w:spacing w:before="78"/>
              <w:ind w:right="260"/>
              <w:jc w:val="right"/>
              <w:rPr>
                <w:sz w:val="24"/>
              </w:rPr>
            </w:pPr>
            <w:r>
              <w:rPr>
                <w:sz w:val="24"/>
              </w:rPr>
              <w:t>1.24</w:t>
            </w:r>
          </w:p>
        </w:tc>
        <w:tc>
          <w:tcPr>
            <w:tcW w:w="1139" w:type="dxa"/>
          </w:tcPr>
          <w:p w:rsidR="001B105C" w:rsidRDefault="009C00F3">
            <w:pPr>
              <w:pStyle w:val="TableParagraph"/>
              <w:spacing w:before="78"/>
              <w:ind w:left="197" w:right="159"/>
              <w:rPr>
                <w:sz w:val="24"/>
              </w:rPr>
            </w:pPr>
            <w:r>
              <w:rPr>
                <w:sz w:val="24"/>
              </w:rPr>
              <w:t>0.83</w:t>
            </w:r>
          </w:p>
        </w:tc>
        <w:tc>
          <w:tcPr>
            <w:tcW w:w="2709" w:type="dxa"/>
          </w:tcPr>
          <w:p w:rsidR="001B105C" w:rsidRDefault="009C00F3">
            <w:pPr>
              <w:pStyle w:val="TableParagraph"/>
              <w:spacing w:before="78"/>
              <w:ind w:left="583"/>
              <w:jc w:val="left"/>
              <w:rPr>
                <w:sz w:val="24"/>
              </w:rPr>
            </w:pPr>
            <w:r>
              <w:rPr>
                <w:sz w:val="24"/>
              </w:rPr>
              <w:t>PVD Preloading</w:t>
            </w:r>
          </w:p>
        </w:tc>
        <w:tc>
          <w:tcPr>
            <w:tcW w:w="832" w:type="dxa"/>
          </w:tcPr>
          <w:p w:rsidR="001B105C" w:rsidRDefault="009C00F3">
            <w:pPr>
              <w:pStyle w:val="TableParagraph"/>
              <w:spacing w:line="273" w:lineRule="exact"/>
              <w:ind w:left="118" w:right="83"/>
              <w:rPr>
                <w:sz w:val="24"/>
              </w:rPr>
            </w:pPr>
            <w:r>
              <w:rPr>
                <w:sz w:val="24"/>
              </w:rPr>
              <w:t>2.09</w:t>
            </w:r>
          </w:p>
        </w:tc>
        <w:tc>
          <w:tcPr>
            <w:tcW w:w="1139" w:type="dxa"/>
          </w:tcPr>
          <w:p w:rsidR="001B105C" w:rsidRDefault="009C00F3">
            <w:pPr>
              <w:pStyle w:val="TableParagraph"/>
              <w:spacing w:line="273" w:lineRule="exact"/>
              <w:ind w:right="331"/>
              <w:jc w:val="right"/>
              <w:rPr>
                <w:sz w:val="24"/>
              </w:rPr>
            </w:pPr>
            <w:r>
              <w:rPr>
                <w:sz w:val="24"/>
              </w:rPr>
              <w:t>1.48</w:t>
            </w:r>
          </w:p>
        </w:tc>
      </w:tr>
    </w:tbl>
    <w:p w:rsidR="001B105C" w:rsidRDefault="001B105C">
      <w:pPr>
        <w:pStyle w:val="BodyText"/>
        <w:rPr>
          <w:sz w:val="26"/>
        </w:rPr>
      </w:pPr>
    </w:p>
    <w:p w:rsidR="001B105C" w:rsidRDefault="009C00F3">
      <w:pPr>
        <w:pStyle w:val="Heading1"/>
        <w:numPr>
          <w:ilvl w:val="0"/>
          <w:numId w:val="1"/>
        </w:numPr>
        <w:tabs>
          <w:tab w:val="left" w:pos="1221"/>
        </w:tabs>
        <w:spacing w:before="177" w:line="362" w:lineRule="auto"/>
        <w:ind w:left="1220" w:right="6009" w:hanging="293"/>
        <w:jc w:val="both"/>
      </w:pPr>
      <w:bookmarkStart w:id="13" w:name="5._KESIMPULAN_DAN_SARAN"/>
      <w:bookmarkEnd w:id="13"/>
      <w:r>
        <w:t xml:space="preserve">KESIMPULAN DAN </w:t>
      </w:r>
      <w:r>
        <w:rPr>
          <w:spacing w:val="-4"/>
        </w:rPr>
        <w:t>SARAN</w:t>
      </w:r>
      <w:bookmarkStart w:id="14" w:name="Kesimpulan"/>
      <w:bookmarkEnd w:id="14"/>
      <w:r>
        <w:rPr>
          <w:spacing w:val="-4"/>
        </w:rPr>
        <w:t xml:space="preserve"> </w:t>
      </w:r>
      <w:r>
        <w:t>Kesimpulan</w:t>
      </w:r>
    </w:p>
    <w:p w:rsidR="001B105C" w:rsidRDefault="009C00F3">
      <w:pPr>
        <w:pStyle w:val="BodyText"/>
        <w:spacing w:before="127" w:line="360" w:lineRule="auto"/>
        <w:ind w:left="1186" w:right="1170" w:firstLine="720"/>
        <w:jc w:val="both"/>
      </w:pPr>
      <w:r>
        <w:t>Berdasarkan</w:t>
      </w:r>
      <w:r>
        <w:rPr>
          <w:spacing w:val="-12"/>
        </w:rPr>
        <w:t xml:space="preserve"> </w:t>
      </w:r>
      <w:r>
        <w:rPr>
          <w:spacing w:val="-3"/>
        </w:rPr>
        <w:t>hasil</w:t>
      </w:r>
      <w:r>
        <w:rPr>
          <w:spacing w:val="-21"/>
        </w:rPr>
        <w:t xml:space="preserve"> </w:t>
      </w:r>
      <w:r>
        <w:t>analisa</w:t>
      </w:r>
      <w:r>
        <w:rPr>
          <w:spacing w:val="-5"/>
        </w:rPr>
        <w:t xml:space="preserve"> </w:t>
      </w:r>
      <w:r>
        <w:t>pada</w:t>
      </w:r>
      <w:r>
        <w:rPr>
          <w:spacing w:val="-9"/>
        </w:rPr>
        <w:t xml:space="preserve"> </w:t>
      </w:r>
      <w:r>
        <w:t>perencanaan</w:t>
      </w:r>
      <w:r>
        <w:rPr>
          <w:spacing w:val="-13"/>
        </w:rPr>
        <w:t xml:space="preserve"> </w:t>
      </w:r>
      <w:r>
        <w:t>Proyek</w:t>
      </w:r>
      <w:r>
        <w:rPr>
          <w:spacing w:val="9"/>
        </w:rPr>
        <w:t xml:space="preserve"> </w:t>
      </w:r>
      <w:r>
        <w:t>Pembangunan</w:t>
      </w:r>
      <w:r>
        <w:rPr>
          <w:spacing w:val="-7"/>
        </w:rPr>
        <w:t xml:space="preserve"> </w:t>
      </w:r>
      <w:r>
        <w:t>Jalan</w:t>
      </w:r>
      <w:r>
        <w:rPr>
          <w:spacing w:val="-17"/>
        </w:rPr>
        <w:t xml:space="preserve"> </w:t>
      </w:r>
      <w:r>
        <w:t xml:space="preserve">Tol Ruas Kuala - Tanjung Inderapura Seksi 2 Zona 1 pada (STA.0+600 – STA.1+000) ini mendapatkan beberapa kesimpulan, antara </w:t>
      </w:r>
      <w:r>
        <w:rPr>
          <w:spacing w:val="-3"/>
        </w:rPr>
        <w:t>lain</w:t>
      </w:r>
      <w:r>
        <w:rPr>
          <w:spacing w:val="34"/>
        </w:rPr>
        <w:t xml:space="preserve"> </w:t>
      </w:r>
      <w:r>
        <w:t>:</w:t>
      </w:r>
    </w:p>
    <w:p w:rsidR="001B105C" w:rsidRDefault="009C00F3">
      <w:pPr>
        <w:pStyle w:val="BodyText"/>
        <w:spacing w:before="132" w:line="360" w:lineRule="auto"/>
        <w:ind w:left="1186" w:right="1170" w:firstLine="720"/>
        <w:jc w:val="both"/>
      </w:pPr>
      <w:r>
        <w:t>Berdasarkan</w:t>
      </w:r>
      <w:r>
        <w:rPr>
          <w:spacing w:val="-12"/>
        </w:rPr>
        <w:t xml:space="preserve"> </w:t>
      </w:r>
      <w:r>
        <w:rPr>
          <w:spacing w:val="-3"/>
        </w:rPr>
        <w:t>hasil</w:t>
      </w:r>
      <w:r>
        <w:rPr>
          <w:spacing w:val="-21"/>
        </w:rPr>
        <w:t xml:space="preserve"> </w:t>
      </w:r>
      <w:r>
        <w:t>analisa</w:t>
      </w:r>
      <w:r>
        <w:rPr>
          <w:spacing w:val="-5"/>
        </w:rPr>
        <w:t xml:space="preserve"> </w:t>
      </w:r>
      <w:r>
        <w:t>pada</w:t>
      </w:r>
      <w:r>
        <w:rPr>
          <w:spacing w:val="-9"/>
        </w:rPr>
        <w:t xml:space="preserve"> </w:t>
      </w:r>
      <w:r>
        <w:t>perencanaan</w:t>
      </w:r>
      <w:r>
        <w:rPr>
          <w:spacing w:val="-13"/>
        </w:rPr>
        <w:t xml:space="preserve"> </w:t>
      </w:r>
      <w:r>
        <w:t>Proyek</w:t>
      </w:r>
      <w:r>
        <w:rPr>
          <w:spacing w:val="9"/>
        </w:rPr>
        <w:t xml:space="preserve"> </w:t>
      </w:r>
      <w:r>
        <w:t>Pembangunan</w:t>
      </w:r>
      <w:r>
        <w:rPr>
          <w:spacing w:val="-7"/>
        </w:rPr>
        <w:t xml:space="preserve"> </w:t>
      </w:r>
      <w:r>
        <w:t>Jalan</w:t>
      </w:r>
      <w:r>
        <w:rPr>
          <w:spacing w:val="-17"/>
        </w:rPr>
        <w:t xml:space="preserve"> </w:t>
      </w:r>
      <w:r>
        <w:t>Tol Ruas Kuala - Tanjung Inderapura Seksi 2 Zona 1 pada (</w:t>
      </w:r>
      <w:r>
        <w:t xml:space="preserve">STA.0+600 – STA.1+000) ini mendapatkan beberapa kesimpulan, antara </w:t>
      </w:r>
      <w:r>
        <w:rPr>
          <w:spacing w:val="-3"/>
        </w:rPr>
        <w:t>lain</w:t>
      </w:r>
      <w:r>
        <w:rPr>
          <w:spacing w:val="34"/>
        </w:rPr>
        <w:t xml:space="preserve"> </w:t>
      </w:r>
      <w:r>
        <w:t>:</w:t>
      </w:r>
    </w:p>
    <w:p w:rsidR="001B105C" w:rsidRDefault="009C00F3">
      <w:pPr>
        <w:pStyle w:val="ListParagraph"/>
        <w:numPr>
          <w:ilvl w:val="1"/>
          <w:numId w:val="1"/>
        </w:numPr>
        <w:tabs>
          <w:tab w:val="left" w:pos="1547"/>
        </w:tabs>
        <w:spacing w:line="360" w:lineRule="auto"/>
        <w:ind w:right="1186"/>
        <w:jc w:val="both"/>
        <w:rPr>
          <w:sz w:val="24"/>
        </w:rPr>
      </w:pPr>
      <w:r>
        <w:rPr>
          <w:sz w:val="24"/>
        </w:rPr>
        <w:t xml:space="preserve">Berdasarkan tinggi muka </w:t>
      </w:r>
      <w:r>
        <w:rPr>
          <w:spacing w:val="-3"/>
          <w:sz w:val="24"/>
        </w:rPr>
        <w:t xml:space="preserve">air </w:t>
      </w:r>
      <w:r>
        <w:rPr>
          <w:sz w:val="24"/>
        </w:rPr>
        <w:t>tanah (GWL) 2.50 m yang didapat dari data BH08, dalam pemasangan kombinasi Prefabricated Vertical Drain (PVD), Prefabricated Horizontal Drain (PHD) pada p</w:t>
      </w:r>
      <w:r>
        <w:rPr>
          <w:sz w:val="24"/>
        </w:rPr>
        <w:t xml:space="preserve">ola pemasangan segitiga dengan jarak 1,5 </w:t>
      </w:r>
      <w:r>
        <w:rPr>
          <w:spacing w:val="-5"/>
          <w:sz w:val="24"/>
        </w:rPr>
        <w:t xml:space="preserve">m, </w:t>
      </w:r>
      <w:r>
        <w:rPr>
          <w:sz w:val="24"/>
        </w:rPr>
        <w:t>dan Preloading maka dapat mempercepat konsolidasi, sebelum dipasang kombinasi Prefabricated Vertical Drain (PVD), Prefabricated Horizontal Drain (PHD) dan preloading, konsolidasi dalam waktu 12 bulan = 0,170 m se</w:t>
      </w:r>
      <w:r>
        <w:rPr>
          <w:sz w:val="24"/>
        </w:rPr>
        <w:t>telah dipasang kombinasi Prefabricated Vertical Drain (PVD), Prefabricated Horizontal Drain (PHD) dan preloading konsolidasi menjadi dalam waktu 5,5 bulan = 0,330</w:t>
      </w:r>
      <w:r>
        <w:rPr>
          <w:spacing w:val="-6"/>
          <w:sz w:val="24"/>
        </w:rPr>
        <w:t xml:space="preserve"> </w:t>
      </w:r>
      <w:r>
        <w:rPr>
          <w:sz w:val="24"/>
        </w:rPr>
        <w:t>m</w:t>
      </w:r>
    </w:p>
    <w:p w:rsidR="001B105C" w:rsidRDefault="001B105C">
      <w:pPr>
        <w:spacing w:line="360" w:lineRule="auto"/>
        <w:jc w:val="both"/>
        <w:rPr>
          <w:sz w:val="24"/>
        </w:rPr>
        <w:sectPr w:rsidR="001B105C">
          <w:pgSz w:w="11910" w:h="16840"/>
          <w:pgMar w:top="1160" w:right="500" w:bottom="280" w:left="1080" w:header="318" w:footer="0" w:gutter="0"/>
          <w:cols w:space="720"/>
        </w:sectPr>
      </w:pPr>
    </w:p>
    <w:p w:rsidR="001B105C" w:rsidRDefault="001B105C">
      <w:pPr>
        <w:pStyle w:val="BodyText"/>
        <w:spacing w:before="2"/>
        <w:rPr>
          <w:sz w:val="27"/>
        </w:rPr>
      </w:pPr>
    </w:p>
    <w:p w:rsidR="001B105C" w:rsidRDefault="009C00F3">
      <w:pPr>
        <w:pStyle w:val="ListParagraph"/>
        <w:numPr>
          <w:ilvl w:val="1"/>
          <w:numId w:val="1"/>
        </w:numPr>
        <w:tabs>
          <w:tab w:val="left" w:pos="1547"/>
        </w:tabs>
        <w:spacing w:before="90" w:line="360" w:lineRule="auto"/>
        <w:ind w:right="1184"/>
        <w:jc w:val="both"/>
        <w:rPr>
          <w:sz w:val="24"/>
        </w:rPr>
      </w:pPr>
      <w:r>
        <w:rPr>
          <w:spacing w:val="-3"/>
          <w:sz w:val="24"/>
        </w:rPr>
        <w:t xml:space="preserve">A. </w:t>
      </w:r>
      <w:r>
        <w:rPr>
          <w:sz w:val="24"/>
        </w:rPr>
        <w:t>Dari STA.0+600 – STA.0+700 Penanganan yang dilakukan adalah menggunakan PVD. Dalam perhitungan diasumsikan terjadi nilai gain strength di lapisan soft clay menggunakan persamaan Mesri, penambahan nilai gain strength diakibatkan oleh beban timbunan dengan h</w:t>
      </w:r>
      <w:r>
        <w:rPr>
          <w:sz w:val="24"/>
        </w:rPr>
        <w:t xml:space="preserve">asil perhitungan sebagai berikut : cu </w:t>
      </w:r>
      <w:r>
        <w:rPr>
          <w:spacing w:val="-3"/>
          <w:sz w:val="24"/>
        </w:rPr>
        <w:t xml:space="preserve">gain </w:t>
      </w:r>
      <w:r>
        <w:rPr>
          <w:sz w:val="24"/>
        </w:rPr>
        <w:t>strength = cu awal + 0.22 x Δσ akibat</w:t>
      </w:r>
      <w:r>
        <w:rPr>
          <w:spacing w:val="1"/>
          <w:sz w:val="24"/>
        </w:rPr>
        <w:t xml:space="preserve"> </w:t>
      </w:r>
      <w:r>
        <w:rPr>
          <w:sz w:val="24"/>
        </w:rPr>
        <w:t>timbunan</w:t>
      </w:r>
    </w:p>
    <w:p w:rsidR="001B105C" w:rsidRDefault="009C00F3">
      <w:pPr>
        <w:pStyle w:val="BodyText"/>
        <w:spacing w:before="4"/>
        <w:ind w:left="4067"/>
        <w:jc w:val="both"/>
      </w:pPr>
      <w:r>
        <w:t>= 24 kPa + 0.22 x (γ x H timbunan)</w:t>
      </w:r>
    </w:p>
    <w:p w:rsidR="001B105C" w:rsidRDefault="001B105C">
      <w:pPr>
        <w:pStyle w:val="BodyText"/>
        <w:spacing w:before="5"/>
      </w:pPr>
    </w:p>
    <w:p w:rsidR="001B105C" w:rsidRDefault="009C00F3">
      <w:pPr>
        <w:pStyle w:val="BodyText"/>
        <w:ind w:left="4067"/>
        <w:jc w:val="both"/>
      </w:pPr>
      <w:r>
        <w:t>= 24 kPa + 0.22 x (16 kN/m3 x 4 meter)</w:t>
      </w:r>
    </w:p>
    <w:p w:rsidR="001B105C" w:rsidRDefault="001B105C">
      <w:pPr>
        <w:pStyle w:val="BodyText"/>
        <w:spacing w:before="7"/>
        <w:rPr>
          <w:sz w:val="23"/>
        </w:rPr>
      </w:pPr>
    </w:p>
    <w:p w:rsidR="001B105C" w:rsidRDefault="009C00F3">
      <w:pPr>
        <w:pStyle w:val="BodyText"/>
        <w:ind w:left="4067"/>
        <w:jc w:val="both"/>
      </w:pPr>
      <w:r>
        <w:t>= 38.08 kPa ≈ 38 kPa</w:t>
      </w:r>
    </w:p>
    <w:p w:rsidR="001B105C" w:rsidRDefault="001B105C">
      <w:pPr>
        <w:pStyle w:val="BodyText"/>
      </w:pPr>
    </w:p>
    <w:p w:rsidR="001B105C" w:rsidRDefault="009C00F3">
      <w:pPr>
        <w:pStyle w:val="ListParagraph"/>
        <w:numPr>
          <w:ilvl w:val="2"/>
          <w:numId w:val="1"/>
        </w:numPr>
        <w:tabs>
          <w:tab w:val="left" w:pos="1941"/>
        </w:tabs>
        <w:spacing w:line="360" w:lineRule="auto"/>
        <w:ind w:right="1184" w:firstLine="0"/>
        <w:jc w:val="both"/>
        <w:rPr>
          <w:sz w:val="24"/>
        </w:rPr>
      </w:pPr>
      <w:r>
        <w:rPr>
          <w:sz w:val="24"/>
        </w:rPr>
        <w:t>Dari STA.0+700 – STA.0+800 Penanganan yang dilakukan adalah menggunakan PVD. Dalam perhitungan diasumsikan terjadi nilai gain strength di lapisan soft clay menggunakan persamaan Mesri, penambahan nilai gain strength diakibatkan oleh beban timbunan dengan h</w:t>
      </w:r>
      <w:r>
        <w:rPr>
          <w:sz w:val="24"/>
        </w:rPr>
        <w:t xml:space="preserve">asil perhitungan sebagai berikut : cu </w:t>
      </w:r>
      <w:r>
        <w:rPr>
          <w:spacing w:val="-3"/>
          <w:sz w:val="24"/>
        </w:rPr>
        <w:t xml:space="preserve">gain </w:t>
      </w:r>
      <w:r>
        <w:rPr>
          <w:sz w:val="24"/>
        </w:rPr>
        <w:t>strength = cu awal + 0.22 x Δσ akibat</w:t>
      </w:r>
      <w:r>
        <w:rPr>
          <w:spacing w:val="4"/>
          <w:sz w:val="24"/>
        </w:rPr>
        <w:t xml:space="preserve"> </w:t>
      </w:r>
      <w:r>
        <w:rPr>
          <w:sz w:val="24"/>
        </w:rPr>
        <w:t>timbunan</w:t>
      </w:r>
    </w:p>
    <w:p w:rsidR="001B105C" w:rsidRDefault="009C00F3">
      <w:pPr>
        <w:pStyle w:val="BodyText"/>
        <w:spacing w:before="5"/>
        <w:ind w:left="4067"/>
        <w:jc w:val="both"/>
      </w:pPr>
      <w:r>
        <w:t>= 24 kPa + 0.22 x (γ x H timbunan)</w:t>
      </w:r>
    </w:p>
    <w:p w:rsidR="001B105C" w:rsidRDefault="001B105C">
      <w:pPr>
        <w:pStyle w:val="BodyText"/>
      </w:pPr>
    </w:p>
    <w:p w:rsidR="001B105C" w:rsidRDefault="009C00F3">
      <w:pPr>
        <w:pStyle w:val="BodyText"/>
        <w:ind w:left="4067"/>
        <w:jc w:val="both"/>
      </w:pPr>
      <w:r>
        <w:t>= 24 kPa + 0.22 x (16 kN/m3 x 2 meter)</w:t>
      </w:r>
    </w:p>
    <w:p w:rsidR="001B105C" w:rsidRDefault="001B105C">
      <w:pPr>
        <w:pStyle w:val="BodyText"/>
      </w:pPr>
    </w:p>
    <w:p w:rsidR="001B105C" w:rsidRDefault="009C00F3">
      <w:pPr>
        <w:pStyle w:val="BodyText"/>
        <w:ind w:left="4067"/>
        <w:jc w:val="both"/>
      </w:pPr>
      <w:r>
        <w:t>= 31.04 kPa ≈ 31 kPa</w:t>
      </w:r>
    </w:p>
    <w:p w:rsidR="001B105C" w:rsidRDefault="009C00F3">
      <w:pPr>
        <w:pStyle w:val="ListParagraph"/>
        <w:numPr>
          <w:ilvl w:val="2"/>
          <w:numId w:val="1"/>
        </w:numPr>
        <w:tabs>
          <w:tab w:val="left" w:pos="1941"/>
        </w:tabs>
        <w:spacing w:before="219" w:line="360" w:lineRule="auto"/>
        <w:ind w:right="1179" w:firstLine="0"/>
        <w:jc w:val="both"/>
        <w:rPr>
          <w:sz w:val="24"/>
        </w:rPr>
      </w:pPr>
      <w:r>
        <w:rPr>
          <w:sz w:val="24"/>
        </w:rPr>
        <w:t>Dari STA.0+800 – STA.0+900 Penanganan yang dilakukan adalah menggunakan PVD. Dalam perhitungan diasumsikan terjadi nilai gain strength di lapisan soft clay menggunakan persamaan Mesri, penambahan nilai gain strength diakibatkan oleh beban timbunan dengan h</w:t>
      </w:r>
      <w:r>
        <w:rPr>
          <w:sz w:val="24"/>
        </w:rPr>
        <w:t xml:space="preserve">asil perhitungan sebagai berikut : cu </w:t>
      </w:r>
      <w:r>
        <w:rPr>
          <w:spacing w:val="-3"/>
          <w:sz w:val="24"/>
        </w:rPr>
        <w:t xml:space="preserve">gain </w:t>
      </w:r>
      <w:r>
        <w:rPr>
          <w:sz w:val="24"/>
        </w:rPr>
        <w:t>strength = cu awal + 0.22 x Δσ akibat</w:t>
      </w:r>
      <w:r>
        <w:rPr>
          <w:spacing w:val="4"/>
          <w:sz w:val="24"/>
        </w:rPr>
        <w:t xml:space="preserve"> </w:t>
      </w:r>
      <w:r>
        <w:rPr>
          <w:sz w:val="24"/>
        </w:rPr>
        <w:t>timbunan</w:t>
      </w:r>
    </w:p>
    <w:p w:rsidR="001B105C" w:rsidRDefault="009C00F3">
      <w:pPr>
        <w:pStyle w:val="BodyText"/>
        <w:spacing w:before="4"/>
        <w:ind w:left="4067"/>
        <w:jc w:val="both"/>
      </w:pPr>
      <w:r>
        <w:t>= 24 kPa + 0.22 x (γ x H timbunan)</w:t>
      </w:r>
    </w:p>
    <w:p w:rsidR="001B105C" w:rsidRDefault="001B105C">
      <w:pPr>
        <w:pStyle w:val="BodyText"/>
      </w:pPr>
    </w:p>
    <w:p w:rsidR="001B105C" w:rsidRDefault="009C00F3">
      <w:pPr>
        <w:pStyle w:val="BodyText"/>
        <w:ind w:left="4067"/>
        <w:jc w:val="both"/>
      </w:pPr>
      <w:r>
        <w:t>= 24 kPa + 0.22 x (16 kN/m3 x 2,5 meter)</w:t>
      </w:r>
    </w:p>
    <w:p w:rsidR="001B105C" w:rsidRDefault="001B105C">
      <w:pPr>
        <w:pStyle w:val="BodyText"/>
        <w:spacing w:before="7"/>
        <w:rPr>
          <w:sz w:val="23"/>
        </w:rPr>
      </w:pPr>
    </w:p>
    <w:p w:rsidR="001B105C" w:rsidRDefault="009C00F3">
      <w:pPr>
        <w:pStyle w:val="BodyText"/>
        <w:ind w:left="4067"/>
        <w:jc w:val="both"/>
      </w:pPr>
      <w:r>
        <w:t>= 32.80 kPa ≈ 32 kPa</w:t>
      </w:r>
    </w:p>
    <w:p w:rsidR="001B105C" w:rsidRDefault="001B105C">
      <w:pPr>
        <w:pStyle w:val="BodyText"/>
      </w:pPr>
    </w:p>
    <w:p w:rsidR="001B105C" w:rsidRDefault="009C00F3">
      <w:pPr>
        <w:pStyle w:val="ListParagraph"/>
        <w:numPr>
          <w:ilvl w:val="2"/>
          <w:numId w:val="1"/>
        </w:numPr>
        <w:tabs>
          <w:tab w:val="left" w:pos="1951"/>
        </w:tabs>
        <w:spacing w:before="1" w:line="360" w:lineRule="auto"/>
        <w:ind w:right="1189" w:firstLine="0"/>
        <w:jc w:val="both"/>
        <w:rPr>
          <w:sz w:val="24"/>
        </w:rPr>
      </w:pPr>
      <w:r>
        <w:rPr>
          <w:sz w:val="24"/>
        </w:rPr>
        <w:t>Dari STA.0+900 – STA.1+000 Penanganan yang dilakukan adalah menggu</w:t>
      </w:r>
      <w:r>
        <w:rPr>
          <w:sz w:val="24"/>
        </w:rPr>
        <w:t xml:space="preserve">nakan PVD. Dalam perhitungan diasumsikan terjadi nilai gain strength di lapisan soft clay menggunakan persamaan Mesri, penambahan nilai gain strength diakibatkan oleh beban timbunan dengan hasil perhitungan sebagai berikut : cu </w:t>
      </w:r>
      <w:r>
        <w:rPr>
          <w:spacing w:val="-3"/>
          <w:sz w:val="24"/>
        </w:rPr>
        <w:t xml:space="preserve">gain </w:t>
      </w:r>
      <w:r>
        <w:rPr>
          <w:sz w:val="24"/>
        </w:rPr>
        <w:t>strength = cu awal + 0.</w:t>
      </w:r>
      <w:r>
        <w:rPr>
          <w:sz w:val="24"/>
        </w:rPr>
        <w:t>22 x Δσ akibat</w:t>
      </w:r>
      <w:r>
        <w:rPr>
          <w:spacing w:val="4"/>
          <w:sz w:val="24"/>
        </w:rPr>
        <w:t xml:space="preserve"> </w:t>
      </w:r>
      <w:r>
        <w:rPr>
          <w:sz w:val="24"/>
        </w:rPr>
        <w:t>timbunan</w:t>
      </w:r>
    </w:p>
    <w:p w:rsidR="001B105C" w:rsidRDefault="009C00F3">
      <w:pPr>
        <w:pStyle w:val="BodyText"/>
        <w:spacing w:before="4"/>
        <w:ind w:left="4067"/>
        <w:jc w:val="both"/>
      </w:pPr>
      <w:r>
        <w:t>= cu awal + 0.22 x Δσ akibat timbunan</w:t>
      </w:r>
    </w:p>
    <w:p w:rsidR="001B105C" w:rsidRDefault="001B105C">
      <w:pPr>
        <w:pStyle w:val="BodyText"/>
      </w:pPr>
    </w:p>
    <w:p w:rsidR="001B105C" w:rsidRDefault="009C00F3">
      <w:pPr>
        <w:pStyle w:val="BodyText"/>
        <w:ind w:left="4067"/>
        <w:jc w:val="both"/>
      </w:pPr>
      <w:r>
        <w:t>= 24 kPa + 0.22 x (γ x H timbunan)</w:t>
      </w:r>
    </w:p>
    <w:p w:rsidR="001B105C" w:rsidRDefault="001B105C">
      <w:pPr>
        <w:pStyle w:val="BodyText"/>
      </w:pPr>
    </w:p>
    <w:p w:rsidR="001B105C" w:rsidRDefault="009C00F3">
      <w:pPr>
        <w:pStyle w:val="BodyText"/>
        <w:ind w:left="4067"/>
      </w:pPr>
      <w:r>
        <w:t>= 24 kPa + 0.22 x (16 kN/m3 x 3 meter) = 34 kPa</w:t>
      </w:r>
    </w:p>
    <w:p w:rsidR="001B105C" w:rsidRDefault="001B105C">
      <w:pPr>
        <w:sectPr w:rsidR="001B105C">
          <w:pgSz w:w="11910" w:h="16840"/>
          <w:pgMar w:top="1160" w:right="500" w:bottom="280" w:left="1080" w:header="318" w:footer="0" w:gutter="0"/>
          <w:cols w:space="720"/>
        </w:sectPr>
      </w:pPr>
    </w:p>
    <w:p w:rsidR="001B105C" w:rsidRDefault="001B105C">
      <w:pPr>
        <w:pStyle w:val="BodyText"/>
        <w:rPr>
          <w:sz w:val="28"/>
        </w:rPr>
      </w:pPr>
    </w:p>
    <w:p w:rsidR="001B105C" w:rsidRDefault="009C00F3">
      <w:pPr>
        <w:pStyle w:val="Heading1"/>
        <w:spacing w:before="90"/>
        <w:ind w:left="1551"/>
      </w:pPr>
      <w:bookmarkStart w:id="15" w:name="Saran"/>
      <w:bookmarkEnd w:id="15"/>
      <w:r>
        <w:rPr>
          <w:color w:val="233E5F"/>
        </w:rPr>
        <w:t>Saran</w:t>
      </w:r>
    </w:p>
    <w:p w:rsidR="001B105C" w:rsidRDefault="001B105C">
      <w:pPr>
        <w:pStyle w:val="BodyText"/>
        <w:spacing w:before="4"/>
        <w:rPr>
          <w:b/>
          <w:sz w:val="22"/>
        </w:rPr>
      </w:pPr>
    </w:p>
    <w:p w:rsidR="001B105C" w:rsidRDefault="009C00F3">
      <w:pPr>
        <w:pStyle w:val="BodyText"/>
        <w:spacing w:line="360" w:lineRule="auto"/>
        <w:ind w:left="1186" w:right="1213"/>
        <w:jc w:val="both"/>
      </w:pPr>
      <w:r>
        <w:t>Berdasarkan kesimpulan diatas, maka penulis memberikan beberapa saran sebagai berikut :</w:t>
      </w:r>
    </w:p>
    <w:p w:rsidR="001B105C" w:rsidRDefault="009C00F3">
      <w:pPr>
        <w:pStyle w:val="BodyText"/>
        <w:spacing w:before="3" w:line="360" w:lineRule="auto"/>
        <w:ind w:left="1186" w:right="1203"/>
        <w:jc w:val="both"/>
      </w:pPr>
      <w:r>
        <w:t>1. Perlu diadakan studi perbandingan alternatif perbaikan tanah dasar tidak hanya PVD, PHD, dan Preloading saja tapi juga ada perbaikan tanah metode lainnya seperti Vac</w:t>
      </w:r>
      <w:r>
        <w:t>uum Consolidation System.</w:t>
      </w:r>
    </w:p>
    <w:p w:rsidR="001B105C" w:rsidRDefault="001B105C">
      <w:pPr>
        <w:spacing w:line="360" w:lineRule="auto"/>
        <w:jc w:val="both"/>
        <w:sectPr w:rsidR="001B105C">
          <w:pgSz w:w="11910" w:h="16840"/>
          <w:pgMar w:top="1160" w:right="500" w:bottom="280" w:left="1080" w:header="318" w:footer="0" w:gutter="0"/>
          <w:cols w:space="720"/>
        </w:sectPr>
      </w:pPr>
    </w:p>
    <w:p w:rsidR="001B105C" w:rsidRDefault="009C00F3">
      <w:pPr>
        <w:tabs>
          <w:tab w:val="left" w:pos="5888"/>
        </w:tabs>
        <w:spacing w:before="35"/>
        <w:ind w:left="1008"/>
        <w:rPr>
          <w:rFonts w:ascii="Caladea"/>
          <w:sz w:val="18"/>
        </w:rPr>
      </w:pPr>
      <w:r>
        <w:rPr>
          <w:noProof/>
          <w:position w:val="-10"/>
          <w:lang w:val="en-US"/>
        </w:rPr>
        <w:lastRenderedPageBreak/>
        <w:drawing>
          <wp:inline distT="0" distB="0" distL="0" distR="0">
            <wp:extent cx="1049655" cy="210132"/>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29" cstate="print"/>
                    <a:stretch>
                      <a:fillRect/>
                    </a:stretch>
                  </pic:blipFill>
                  <pic:spPr>
                    <a:xfrm>
                      <a:off x="0" y="0"/>
                      <a:ext cx="1049655" cy="210132"/>
                    </a:xfrm>
                    <a:prstGeom prst="rect">
                      <a:avLst/>
                    </a:prstGeom>
                  </pic:spPr>
                </pic:pic>
              </a:graphicData>
            </a:graphic>
          </wp:inline>
        </w:drawing>
      </w:r>
      <w:r>
        <w:rPr>
          <w:sz w:val="20"/>
        </w:rPr>
        <w:tab/>
      </w:r>
      <w:r>
        <w:rPr>
          <w:spacing w:val="-23"/>
          <w:sz w:val="20"/>
        </w:rPr>
        <w:t xml:space="preserve"> </w:t>
      </w:r>
      <w:r>
        <w:rPr>
          <w:rFonts w:ascii="Caladea"/>
          <w:color w:val="7C7C7C"/>
          <w:sz w:val="18"/>
        </w:rPr>
        <w:t xml:space="preserve">P-ISSN 2809-2473 </w:t>
      </w:r>
      <w:r>
        <w:rPr>
          <w:rFonts w:ascii="Caladea"/>
          <w:sz w:val="18"/>
        </w:rPr>
        <w:t xml:space="preserve">| </w:t>
      </w:r>
      <w:r>
        <w:rPr>
          <w:rFonts w:ascii="Caladea"/>
          <w:color w:val="7C7C7C"/>
          <w:sz w:val="18"/>
        </w:rPr>
        <w:t>E-ISSN</w:t>
      </w:r>
      <w:r>
        <w:rPr>
          <w:rFonts w:ascii="Caladea"/>
          <w:color w:val="7C7C7C"/>
          <w:spacing w:val="-26"/>
          <w:sz w:val="18"/>
        </w:rPr>
        <w:t xml:space="preserve"> </w:t>
      </w:r>
      <w:r>
        <w:rPr>
          <w:rFonts w:ascii="Caladea"/>
          <w:color w:val="7C7C7C"/>
          <w:sz w:val="18"/>
        </w:rPr>
        <w:t>2809-2562</w:t>
      </w:r>
    </w:p>
    <w:p w:rsidR="001B105C" w:rsidRDefault="009C00F3">
      <w:pPr>
        <w:spacing w:before="25"/>
        <w:ind w:left="716" w:right="5503" w:hanging="606"/>
        <w:rPr>
          <w:rFonts w:ascii="Caladea"/>
          <w:sz w:val="18"/>
        </w:rPr>
      </w:pPr>
      <w:r>
        <w:rPr>
          <w:rFonts w:ascii="Caladea"/>
          <w:color w:val="7C7C7C"/>
          <w:sz w:val="18"/>
        </w:rPr>
        <w:t>Jurnal Bidang Aplikasi Teknik Sipil dan Sains Vol. 1, No. 1, November 2021</w:t>
      </w:r>
    </w:p>
    <w:p w:rsidR="001B105C" w:rsidRDefault="001B105C">
      <w:pPr>
        <w:pStyle w:val="BodyText"/>
        <w:rPr>
          <w:rFonts w:ascii="Caladea"/>
          <w:sz w:val="20"/>
        </w:rPr>
      </w:pPr>
    </w:p>
    <w:p w:rsidR="001B105C" w:rsidRDefault="001B105C">
      <w:pPr>
        <w:pStyle w:val="BodyText"/>
        <w:spacing w:before="5"/>
        <w:rPr>
          <w:rFonts w:ascii="Caladea"/>
          <w:sz w:val="16"/>
        </w:rPr>
      </w:pPr>
    </w:p>
    <w:p w:rsidR="001B105C" w:rsidRDefault="009C00F3">
      <w:pPr>
        <w:spacing w:before="92"/>
        <w:ind w:left="448"/>
        <w:rPr>
          <w:b/>
        </w:rPr>
      </w:pPr>
      <w:r>
        <w:pict>
          <v:shape id="_x0000_s1026" style="position:absolute;left:0;text-align:left;margin-left:91.9pt;margin-top:20.7pt;width:417.85pt;height:.1pt;z-index:-15714816;mso-wrap-distance-left:0;mso-wrap-distance-right:0;mso-position-horizontal-relative:page" coordorigin="1838,414" coordsize="8357,0" path="m1838,414r8357,e" filled="f">
            <v:path arrowok="t"/>
            <w10:wrap type="topAndBottom" anchorx="page"/>
          </v:shape>
        </w:pict>
      </w:r>
      <w:bookmarkStart w:id="16" w:name="DAFTAR_PUSTAKA"/>
      <w:bookmarkEnd w:id="16"/>
      <w:r>
        <w:rPr>
          <w:b/>
        </w:rPr>
        <w:t>DAFTAR PUSTAKA</w:t>
      </w:r>
    </w:p>
    <w:p w:rsidR="001B105C" w:rsidRDefault="009C00F3">
      <w:pPr>
        <w:pStyle w:val="BodyText"/>
        <w:ind w:left="121"/>
        <w:jc w:val="both"/>
      </w:pPr>
      <w:r>
        <w:t>Das, B.M. (2006). Buku Mekanika Tanah, Jilid 1.</w:t>
      </w:r>
    </w:p>
    <w:p w:rsidR="001B105C" w:rsidRDefault="009C00F3">
      <w:pPr>
        <w:pStyle w:val="BodyText"/>
        <w:spacing w:before="137" w:line="362" w:lineRule="auto"/>
        <w:ind w:left="121" w:right="105"/>
        <w:jc w:val="both"/>
      </w:pPr>
      <w:r>
        <w:t>Liong, Gouw Tjie., 2015, Seberapa besar pengaruh efek gangguan dan hambatan alir pada Prefabricated vertical drain, 10th Indonesian Geotechnical Conference and 19th Annual Scientific</w:t>
      </w:r>
      <w:r>
        <w:rPr>
          <w:spacing w:val="16"/>
        </w:rPr>
        <w:t xml:space="preserve"> </w:t>
      </w:r>
      <w:r>
        <w:t>Meeting.</w:t>
      </w:r>
    </w:p>
    <w:p w:rsidR="001B105C" w:rsidRDefault="009C00F3">
      <w:pPr>
        <w:pStyle w:val="BodyText"/>
        <w:spacing w:line="360" w:lineRule="auto"/>
        <w:ind w:left="121" w:right="114"/>
        <w:jc w:val="both"/>
      </w:pPr>
      <w:r>
        <w:t>Hansbo, S., (1979). Consolidation of clay by band-shaped prefabr</w:t>
      </w:r>
      <w:r>
        <w:t>icated drains. Ground Eng., 12(5),</w:t>
      </w:r>
      <w:r>
        <w:rPr>
          <w:spacing w:val="9"/>
        </w:rPr>
        <w:t xml:space="preserve"> </w:t>
      </w:r>
      <w:r>
        <w:t>16-25.</w:t>
      </w:r>
    </w:p>
    <w:p w:rsidR="001B105C" w:rsidRDefault="009C00F3">
      <w:pPr>
        <w:pStyle w:val="BodyText"/>
        <w:spacing w:line="362" w:lineRule="auto"/>
        <w:ind w:left="121" w:right="113"/>
        <w:jc w:val="both"/>
      </w:pPr>
      <w:r>
        <w:t>Kuswanda, Wahyu P. 2016. Perbaikan Tanah Lempung Lunak Metoda Preloading Pada Pembangunan Infrastruktur Transportasi Di Pulau Kalimantan, Seminar Nasional Teknik Sipil Universitas Lambung Mangkurat, Banjarmasin, 20</w:t>
      </w:r>
      <w:r>
        <w:t>16.</w:t>
      </w:r>
    </w:p>
    <w:p w:rsidR="001B105C" w:rsidRDefault="009C00F3">
      <w:pPr>
        <w:pStyle w:val="BodyText"/>
        <w:spacing w:line="270" w:lineRule="exact"/>
        <w:ind w:left="121"/>
        <w:jc w:val="both"/>
      </w:pPr>
      <w:r>
        <w:t>Munawir, As’ad. Bahan Kuliah Perbaikan Tanah. Malang. Universitas Brawijaya.</w:t>
      </w:r>
    </w:p>
    <w:p w:rsidR="001B105C" w:rsidRDefault="009C00F3">
      <w:pPr>
        <w:pStyle w:val="BodyText"/>
        <w:spacing w:before="127" w:line="362" w:lineRule="auto"/>
        <w:ind w:left="121" w:right="110"/>
        <w:jc w:val="both"/>
      </w:pPr>
      <w:r>
        <w:t>T. Stapelfeldt. 2005. Preloading and Vertical Drains. Unpublished notes. Helsinki University of Technology</w:t>
      </w:r>
    </w:p>
    <w:p w:rsidR="001B105C" w:rsidRDefault="009C00F3">
      <w:pPr>
        <w:pStyle w:val="BodyText"/>
        <w:spacing w:line="360" w:lineRule="auto"/>
        <w:ind w:left="121" w:right="117"/>
      </w:pPr>
      <w:r>
        <w:t>Barron, R, 1948, Consolidation of Fine Grain Soils by Drain Wells, Trans ASCE, 113 pp. 718-734</w:t>
      </w:r>
    </w:p>
    <w:p w:rsidR="001B105C" w:rsidRDefault="009C00F3">
      <w:pPr>
        <w:pStyle w:val="BodyText"/>
        <w:spacing w:line="362" w:lineRule="auto"/>
        <w:ind w:left="121"/>
      </w:pPr>
      <w:r>
        <w:t>Terzaghi, Peck, Lambe, Whitman, 1948, Soil Mechanics International Edition1969. Stamatopoulos, A.C., et al. 1985. Soil Improvement by Preloading. John Wiley &amp; So</w:t>
      </w:r>
      <w:r>
        <w:t>ns, Incorporated, Canada.</w:t>
      </w:r>
    </w:p>
    <w:p w:rsidR="001B105C" w:rsidRDefault="009C00F3">
      <w:pPr>
        <w:pStyle w:val="BodyText"/>
        <w:spacing w:line="269" w:lineRule="exact"/>
        <w:ind w:left="121"/>
      </w:pPr>
      <w:r>
        <w:t>Gouw, T.L. 2008. Vertical Drain Design and Case Studies.</w:t>
      </w:r>
    </w:p>
    <w:p w:rsidR="001B105C" w:rsidRDefault="009C00F3">
      <w:pPr>
        <w:pStyle w:val="BodyText"/>
        <w:spacing w:before="132" w:line="362" w:lineRule="auto"/>
        <w:ind w:left="121"/>
      </w:pPr>
      <w:r>
        <w:t>Mochtar, Noor Endah. 2012. Modul Ajar Metode Perbaikan Tanah. Surabaya: Jurusan Teknik Sipil FTSP-ITS.</w:t>
      </w:r>
    </w:p>
    <w:p w:rsidR="001B105C" w:rsidRDefault="009C00F3">
      <w:pPr>
        <w:pStyle w:val="BodyText"/>
        <w:spacing w:line="360" w:lineRule="auto"/>
        <w:ind w:left="121" w:right="109"/>
        <w:jc w:val="both"/>
      </w:pPr>
      <w:r>
        <w:t>Holtz, RD., et al. (1991). Prefabricated Vertical Drains: Design and P</w:t>
      </w:r>
      <w:r>
        <w:t>erformance. CIRIA Ground Engineering Report: Ground Improvement. Butterworth –Heinemann Ltd, Oxford</w:t>
      </w:r>
    </w:p>
    <w:sectPr w:rsidR="001B105C">
      <w:headerReference w:type="default" r:id="rId30"/>
      <w:pgSz w:w="11920" w:h="16850"/>
      <w:pgMar w:top="1120" w:right="1320" w:bottom="280" w:left="15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0F3" w:rsidRDefault="009C00F3">
      <w:r>
        <w:separator/>
      </w:r>
    </w:p>
  </w:endnote>
  <w:endnote w:type="continuationSeparator" w:id="0">
    <w:p w:rsidR="009C00F3" w:rsidRDefault="009C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0F3" w:rsidRDefault="009C00F3">
      <w:r>
        <w:separator/>
      </w:r>
    </w:p>
  </w:footnote>
  <w:footnote w:type="continuationSeparator" w:id="0">
    <w:p w:rsidR="009C00F3" w:rsidRDefault="009C0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5C" w:rsidRDefault="009C00F3">
    <w:pPr>
      <w:pStyle w:val="BodyText"/>
      <w:spacing w:line="14" w:lineRule="auto"/>
      <w:rPr>
        <w:sz w:val="20"/>
      </w:rPr>
    </w:pPr>
    <w:r>
      <w:rPr>
        <w:noProof/>
        <w:lang w:val="en-US"/>
      </w:rPr>
      <w:drawing>
        <wp:anchor distT="0" distB="0" distL="0" distR="0" simplePos="0" relativeHeight="487095296" behindDoc="1" locked="0" layoutInCell="1" allowOverlap="1">
          <wp:simplePos x="0" y="0"/>
          <wp:positionH relativeFrom="page">
            <wp:posOffset>1617980</wp:posOffset>
          </wp:positionH>
          <wp:positionV relativeFrom="page">
            <wp:posOffset>738928</wp:posOffset>
          </wp:positionV>
          <wp:extent cx="1049655" cy="21013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49655" cy="210132"/>
                  </a:xfrm>
                  <a:prstGeom prst="rect">
                    <a:avLst/>
                  </a:prstGeom>
                </pic:spPr>
              </pic:pic>
            </a:graphicData>
          </a:graphic>
        </wp:anchor>
      </w:drawing>
    </w:r>
    <w:r>
      <w:pict>
        <v:line id="_x0000_s2055" style="position:absolute;z-index:-16220672;mso-position-horizontal-relative:page;mso-position-vertical-relative:page" from="522.6pt,101.95pt" to="79.25pt,101.95pt">
          <w10:wrap anchorx="page" anchory="page"/>
        </v:line>
      </w:pict>
    </w:r>
    <w:r>
      <w:pict>
        <v:shapetype id="_x0000_t202" coordsize="21600,21600" o:spt="202" path="m,l,21600r21600,l21600,xe">
          <v:stroke joinstyle="miter"/>
          <v:path gradientshapeok="t" o:connecttype="rect"/>
        </v:shapetype>
        <v:shape id="_x0000_s2054" type="#_x0000_t202" style="position:absolute;margin-left:370.4pt;margin-top:59.45pt;width:150.2pt;height:12.7pt;z-index:-16220160;mso-position-horizontal-relative:page;mso-position-vertical-relative:page" filled="f" stroked="f">
          <v:textbox inset="0,0,0,0">
            <w:txbxContent>
              <w:p w:rsidR="001B105C" w:rsidRDefault="009C00F3">
                <w:pPr>
                  <w:spacing w:before="22"/>
                  <w:ind w:left="20"/>
                  <w:rPr>
                    <w:rFonts w:ascii="Caladea"/>
                    <w:sz w:val="18"/>
                  </w:rPr>
                </w:pPr>
                <w:r>
                  <w:rPr>
                    <w:rFonts w:ascii="Caladea"/>
                    <w:color w:val="7C7C7C"/>
                    <w:sz w:val="18"/>
                  </w:rPr>
                  <w:t xml:space="preserve">P-ISSN 2809-2473 </w:t>
                </w:r>
                <w:r>
                  <w:rPr>
                    <w:rFonts w:ascii="Caladea"/>
                    <w:sz w:val="18"/>
                  </w:rPr>
                  <w:t xml:space="preserve">| </w:t>
                </w:r>
                <w:r>
                  <w:rPr>
                    <w:rFonts w:ascii="Caladea"/>
                    <w:color w:val="7C7C7C"/>
                    <w:sz w:val="18"/>
                  </w:rPr>
                  <w:t>E-ISSN 2809-2562</w:t>
                </w:r>
              </w:p>
            </w:txbxContent>
          </v:textbox>
          <w10:wrap anchorx="page" anchory="page"/>
        </v:shape>
      </w:pict>
    </w:r>
    <w:r>
      <w:pict>
        <v:shape id="_x0000_s2053" type="#_x0000_t202" style="position:absolute;margin-left:81.6pt;margin-top:74.85pt;width:173.55pt;height:23.3pt;z-index:-16219648;mso-position-horizontal-relative:page;mso-position-vertical-relative:page" filled="f" stroked="f">
          <v:textbox inset="0,0,0,0">
            <w:txbxContent>
              <w:p w:rsidR="001B105C" w:rsidRDefault="009C00F3">
                <w:pPr>
                  <w:spacing w:before="22"/>
                  <w:ind w:left="625" w:right="5" w:hanging="606"/>
                  <w:rPr>
                    <w:rFonts w:ascii="Caladea"/>
                    <w:sz w:val="18"/>
                  </w:rPr>
                </w:pPr>
                <w:r>
                  <w:rPr>
                    <w:rFonts w:ascii="Caladea"/>
                    <w:color w:val="7C7C7C"/>
                    <w:sz w:val="18"/>
                  </w:rPr>
                  <w:t>Jurnal Bidang Aplikasi Teknik Sipil dan Sains Vol. 1, No. 1, Agustus 2022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5C" w:rsidRDefault="009C00F3">
    <w:pPr>
      <w:pStyle w:val="BodyText"/>
      <w:spacing w:line="14" w:lineRule="auto"/>
      <w:rPr>
        <w:sz w:val="20"/>
      </w:rPr>
    </w:pPr>
    <w:r>
      <w:rPr>
        <w:noProof/>
        <w:lang w:val="en-US"/>
      </w:rPr>
      <w:drawing>
        <wp:anchor distT="0" distB="0" distL="0" distR="0" simplePos="0" relativeHeight="487097344" behindDoc="1" locked="0" layoutInCell="1" allowOverlap="1">
          <wp:simplePos x="0" y="0"/>
          <wp:positionH relativeFrom="page">
            <wp:posOffset>1328419</wp:posOffset>
          </wp:positionH>
          <wp:positionV relativeFrom="page">
            <wp:posOffset>208703</wp:posOffset>
          </wp:positionV>
          <wp:extent cx="1049655" cy="21013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049655" cy="2101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372.35pt;margin-top:28.5pt;width:150.2pt;height:12.7pt;z-index:-16218624;mso-position-horizontal-relative:page;mso-position-vertical-relative:page" filled="f" stroked="f">
          <v:textbox inset="0,0,0,0">
            <w:txbxContent>
              <w:p w:rsidR="001B105C" w:rsidRDefault="009C00F3">
                <w:pPr>
                  <w:spacing w:before="22"/>
                  <w:ind w:left="20"/>
                  <w:rPr>
                    <w:rFonts w:ascii="Caladea"/>
                    <w:sz w:val="18"/>
                  </w:rPr>
                </w:pPr>
                <w:r>
                  <w:rPr>
                    <w:rFonts w:ascii="Caladea"/>
                    <w:color w:val="7C7C7C"/>
                    <w:sz w:val="18"/>
                  </w:rPr>
                  <w:t xml:space="preserve">P-ISSN 2809-2473 </w:t>
                </w:r>
                <w:r>
                  <w:rPr>
                    <w:rFonts w:ascii="Caladea"/>
                    <w:sz w:val="18"/>
                  </w:rPr>
                  <w:t xml:space="preserve">| </w:t>
                </w:r>
                <w:r>
                  <w:rPr>
                    <w:rFonts w:ascii="Caladea"/>
                    <w:color w:val="7C7C7C"/>
                    <w:sz w:val="18"/>
                  </w:rPr>
                  <w:t>E-ISSN 2809-2562</w:t>
                </w:r>
              </w:p>
            </w:txbxContent>
          </v:textbox>
          <w10:wrap anchorx="page" anchory="page"/>
        </v:shape>
      </w:pict>
    </w:r>
    <w:r>
      <w:pict>
        <v:shape id="_x0000_s2051" type="#_x0000_t202" style="position:absolute;margin-left:60.7pt;margin-top:34.75pt;width:173.55pt;height:23.3pt;z-index:-16218112;mso-position-horizontal-relative:page;mso-position-vertical-relative:page" filled="f" stroked="f">
          <v:textbox inset="0,0,0,0">
            <w:txbxContent>
              <w:p w:rsidR="001B105C" w:rsidRDefault="009C00F3">
                <w:pPr>
                  <w:spacing w:before="22"/>
                  <w:ind w:left="625" w:right="5" w:hanging="606"/>
                  <w:rPr>
                    <w:rFonts w:ascii="Caladea"/>
                    <w:sz w:val="18"/>
                  </w:rPr>
                </w:pPr>
                <w:r>
                  <w:rPr>
                    <w:rFonts w:ascii="Caladea"/>
                    <w:color w:val="7C7C7C"/>
                    <w:sz w:val="18"/>
                  </w:rPr>
                  <w:t>Jurnal Bidang Aplikasi Tekni</w:t>
                </w:r>
                <w:r>
                  <w:rPr>
                    <w:rFonts w:ascii="Caladea"/>
                    <w:color w:val="7C7C7C"/>
                    <w:sz w:val="18"/>
                  </w:rPr>
                  <w:t>k Sipil dan Sains Vol. 1, No. 1, Agustus 2022</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5C" w:rsidRDefault="009C00F3">
    <w:pPr>
      <w:pStyle w:val="BodyText"/>
      <w:spacing w:line="14" w:lineRule="auto"/>
      <w:rPr>
        <w:sz w:val="20"/>
      </w:rPr>
    </w:pPr>
    <w:r>
      <w:rPr>
        <w:noProof/>
        <w:lang w:val="en-US"/>
      </w:rPr>
      <w:drawing>
        <wp:anchor distT="0" distB="0" distL="0" distR="0" simplePos="0" relativeHeight="487098880" behindDoc="1" locked="0" layoutInCell="1" allowOverlap="1">
          <wp:simplePos x="0" y="0"/>
          <wp:positionH relativeFrom="page">
            <wp:posOffset>1259839</wp:posOffset>
          </wp:positionH>
          <wp:positionV relativeFrom="page">
            <wp:posOffset>201718</wp:posOffset>
          </wp:positionV>
          <wp:extent cx="1049655" cy="21013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049655" cy="21013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354.1pt;margin-top:22.75pt;width:150.2pt;height:12.7pt;z-index:-16217088;mso-position-horizontal-relative:page;mso-position-vertical-relative:page" filled="f" stroked="f">
          <v:textbox inset="0,0,0,0">
            <w:txbxContent>
              <w:p w:rsidR="001B105C" w:rsidRDefault="009C00F3">
                <w:pPr>
                  <w:spacing w:before="22"/>
                  <w:ind w:left="20"/>
                  <w:rPr>
                    <w:rFonts w:ascii="Caladea"/>
                    <w:sz w:val="18"/>
                  </w:rPr>
                </w:pPr>
                <w:r>
                  <w:rPr>
                    <w:rFonts w:ascii="Caladea"/>
                    <w:color w:val="7C7C7C"/>
                    <w:sz w:val="18"/>
                  </w:rPr>
                  <w:t xml:space="preserve">P-ISSN 2809-2473 </w:t>
                </w:r>
                <w:r>
                  <w:rPr>
                    <w:rFonts w:ascii="Caladea"/>
                    <w:sz w:val="18"/>
                  </w:rPr>
                  <w:t xml:space="preserve">| </w:t>
                </w:r>
                <w:r>
                  <w:rPr>
                    <w:rFonts w:ascii="Caladea"/>
                    <w:color w:val="7C7C7C"/>
                    <w:sz w:val="18"/>
                  </w:rPr>
                  <w:t>E-ISSN 2809-2562</w:t>
                </w:r>
              </w:p>
            </w:txbxContent>
          </v:textbox>
          <w10:wrap anchorx="page" anchory="page"/>
        </v:shape>
      </w:pict>
    </w:r>
    <w:r>
      <w:pict>
        <v:shape id="_x0000_s2049" type="#_x0000_t202" style="position:absolute;margin-left:59pt;margin-top:35.7pt;width:173.55pt;height:23.75pt;z-index:-16216576;mso-position-horizontal-relative:page;mso-position-vertical-relative:page" filled="f" stroked="f">
          <v:textbox inset="0,0,0,0">
            <w:txbxContent>
              <w:p w:rsidR="001B105C" w:rsidRDefault="009C00F3">
                <w:pPr>
                  <w:spacing w:before="22" w:line="252" w:lineRule="auto"/>
                  <w:ind w:left="625" w:right="5" w:hanging="606"/>
                  <w:rPr>
                    <w:rFonts w:ascii="Caladea"/>
                    <w:sz w:val="18"/>
                  </w:rPr>
                </w:pPr>
                <w:r>
                  <w:rPr>
                    <w:rFonts w:ascii="Caladea"/>
                    <w:color w:val="7C7C7C"/>
                    <w:sz w:val="18"/>
                  </w:rPr>
                  <w:t>Jurnal Bidang Aplikasi Teknik Sipil dan Sains Vol. 1, No. 1, Agustus 2022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5C" w:rsidRDefault="001B105C">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3E07"/>
    <w:multiLevelType w:val="hybridMultilevel"/>
    <w:tmpl w:val="B7A0FF42"/>
    <w:lvl w:ilvl="0" w:tplc="2640AA06">
      <w:start w:val="3"/>
      <w:numFmt w:val="decimal"/>
      <w:lvlText w:val="%1."/>
      <w:lvlJc w:val="left"/>
      <w:pPr>
        <w:ind w:left="101" w:hanging="284"/>
        <w:jc w:val="right"/>
      </w:pPr>
      <w:rPr>
        <w:rFonts w:ascii="Times New Roman" w:eastAsia="Times New Roman" w:hAnsi="Times New Roman" w:cs="Times New Roman" w:hint="default"/>
        <w:b/>
        <w:bCs/>
        <w:w w:val="100"/>
        <w:sz w:val="22"/>
        <w:szCs w:val="22"/>
        <w:lang w:eastAsia="en-US" w:bidi="ar-SA"/>
      </w:rPr>
    </w:lvl>
    <w:lvl w:ilvl="1" w:tplc="42B0B166">
      <w:start w:val="1"/>
      <w:numFmt w:val="decimal"/>
      <w:lvlText w:val="%2."/>
      <w:lvlJc w:val="left"/>
      <w:pPr>
        <w:ind w:left="1546" w:hanging="360"/>
        <w:jc w:val="left"/>
      </w:pPr>
      <w:rPr>
        <w:rFonts w:ascii="Times New Roman" w:eastAsia="Times New Roman" w:hAnsi="Times New Roman" w:cs="Times New Roman" w:hint="default"/>
        <w:spacing w:val="-25"/>
        <w:w w:val="99"/>
        <w:sz w:val="24"/>
        <w:szCs w:val="24"/>
        <w:lang w:eastAsia="en-US" w:bidi="ar-SA"/>
      </w:rPr>
    </w:lvl>
    <w:lvl w:ilvl="2" w:tplc="3EE4FC8C">
      <w:start w:val="2"/>
      <w:numFmt w:val="upperLetter"/>
      <w:lvlText w:val="%3."/>
      <w:lvlJc w:val="left"/>
      <w:pPr>
        <w:ind w:left="1546" w:hanging="394"/>
        <w:jc w:val="left"/>
      </w:pPr>
      <w:rPr>
        <w:rFonts w:ascii="Times New Roman" w:eastAsia="Times New Roman" w:hAnsi="Times New Roman" w:cs="Times New Roman" w:hint="default"/>
        <w:spacing w:val="-25"/>
        <w:w w:val="99"/>
        <w:sz w:val="24"/>
        <w:szCs w:val="24"/>
        <w:lang w:eastAsia="en-US" w:bidi="ar-SA"/>
      </w:rPr>
    </w:lvl>
    <w:lvl w:ilvl="3" w:tplc="0C4E8F10">
      <w:numFmt w:val="bullet"/>
      <w:lvlText w:val="•"/>
      <w:lvlJc w:val="left"/>
      <w:pPr>
        <w:ind w:left="3439" w:hanging="394"/>
      </w:pPr>
      <w:rPr>
        <w:rFonts w:hint="default"/>
        <w:lang w:eastAsia="en-US" w:bidi="ar-SA"/>
      </w:rPr>
    </w:lvl>
    <w:lvl w:ilvl="4" w:tplc="F312A65E">
      <w:numFmt w:val="bullet"/>
      <w:lvlText w:val="•"/>
      <w:lvlJc w:val="left"/>
      <w:pPr>
        <w:ind w:left="4389" w:hanging="394"/>
      </w:pPr>
      <w:rPr>
        <w:rFonts w:hint="default"/>
        <w:lang w:eastAsia="en-US" w:bidi="ar-SA"/>
      </w:rPr>
    </w:lvl>
    <w:lvl w:ilvl="5" w:tplc="EB56DF00">
      <w:numFmt w:val="bullet"/>
      <w:lvlText w:val="•"/>
      <w:lvlJc w:val="left"/>
      <w:pPr>
        <w:ind w:left="5339" w:hanging="394"/>
      </w:pPr>
      <w:rPr>
        <w:rFonts w:hint="default"/>
        <w:lang w:eastAsia="en-US" w:bidi="ar-SA"/>
      </w:rPr>
    </w:lvl>
    <w:lvl w:ilvl="6" w:tplc="95041DF2">
      <w:numFmt w:val="bullet"/>
      <w:lvlText w:val="•"/>
      <w:lvlJc w:val="left"/>
      <w:pPr>
        <w:ind w:left="6289" w:hanging="394"/>
      </w:pPr>
      <w:rPr>
        <w:rFonts w:hint="default"/>
        <w:lang w:eastAsia="en-US" w:bidi="ar-SA"/>
      </w:rPr>
    </w:lvl>
    <w:lvl w:ilvl="7" w:tplc="50461750">
      <w:numFmt w:val="bullet"/>
      <w:lvlText w:val="•"/>
      <w:lvlJc w:val="left"/>
      <w:pPr>
        <w:ind w:left="7239" w:hanging="394"/>
      </w:pPr>
      <w:rPr>
        <w:rFonts w:hint="default"/>
        <w:lang w:eastAsia="en-US" w:bidi="ar-SA"/>
      </w:rPr>
    </w:lvl>
    <w:lvl w:ilvl="8" w:tplc="A03A37B6">
      <w:numFmt w:val="bullet"/>
      <w:lvlText w:val="•"/>
      <w:lvlJc w:val="left"/>
      <w:pPr>
        <w:ind w:left="8189" w:hanging="394"/>
      </w:pPr>
      <w:rPr>
        <w:rFonts w:hint="default"/>
        <w:lang w:eastAsia="en-US" w:bidi="ar-SA"/>
      </w:rPr>
    </w:lvl>
  </w:abstractNum>
  <w:abstractNum w:abstractNumId="1">
    <w:nsid w:val="54564141"/>
    <w:multiLevelType w:val="hybridMultilevel"/>
    <w:tmpl w:val="19BA4F3A"/>
    <w:lvl w:ilvl="0" w:tplc="F878D480">
      <w:start w:val="1"/>
      <w:numFmt w:val="decimal"/>
      <w:lvlText w:val="%1."/>
      <w:lvlJc w:val="left"/>
      <w:pPr>
        <w:ind w:left="461" w:hanging="360"/>
        <w:jc w:val="left"/>
      </w:pPr>
      <w:rPr>
        <w:rFonts w:ascii="Times New Roman" w:eastAsia="Times New Roman" w:hAnsi="Times New Roman" w:cs="Times New Roman" w:hint="default"/>
        <w:spacing w:val="-10"/>
        <w:w w:val="99"/>
        <w:sz w:val="24"/>
        <w:szCs w:val="24"/>
        <w:lang w:eastAsia="en-US" w:bidi="ar-SA"/>
      </w:rPr>
    </w:lvl>
    <w:lvl w:ilvl="1" w:tplc="E37C95C4">
      <w:numFmt w:val="bullet"/>
      <w:lvlText w:val="•"/>
      <w:lvlJc w:val="left"/>
      <w:pPr>
        <w:ind w:left="1422" w:hanging="360"/>
      </w:pPr>
      <w:rPr>
        <w:rFonts w:hint="default"/>
        <w:lang w:eastAsia="en-US" w:bidi="ar-SA"/>
      </w:rPr>
    </w:lvl>
    <w:lvl w:ilvl="2" w:tplc="06F8BBDE">
      <w:numFmt w:val="bullet"/>
      <w:lvlText w:val="•"/>
      <w:lvlJc w:val="left"/>
      <w:pPr>
        <w:ind w:left="2385" w:hanging="360"/>
      </w:pPr>
      <w:rPr>
        <w:rFonts w:hint="default"/>
        <w:lang w:eastAsia="en-US" w:bidi="ar-SA"/>
      </w:rPr>
    </w:lvl>
    <w:lvl w:ilvl="3" w:tplc="B1626900">
      <w:numFmt w:val="bullet"/>
      <w:lvlText w:val="•"/>
      <w:lvlJc w:val="left"/>
      <w:pPr>
        <w:ind w:left="3348" w:hanging="360"/>
      </w:pPr>
      <w:rPr>
        <w:rFonts w:hint="default"/>
        <w:lang w:eastAsia="en-US" w:bidi="ar-SA"/>
      </w:rPr>
    </w:lvl>
    <w:lvl w:ilvl="4" w:tplc="93E42B1C">
      <w:numFmt w:val="bullet"/>
      <w:lvlText w:val="•"/>
      <w:lvlJc w:val="left"/>
      <w:pPr>
        <w:ind w:left="4311" w:hanging="360"/>
      </w:pPr>
      <w:rPr>
        <w:rFonts w:hint="default"/>
        <w:lang w:eastAsia="en-US" w:bidi="ar-SA"/>
      </w:rPr>
    </w:lvl>
    <w:lvl w:ilvl="5" w:tplc="4A26148A">
      <w:numFmt w:val="bullet"/>
      <w:lvlText w:val="•"/>
      <w:lvlJc w:val="left"/>
      <w:pPr>
        <w:ind w:left="5274" w:hanging="360"/>
      </w:pPr>
      <w:rPr>
        <w:rFonts w:hint="default"/>
        <w:lang w:eastAsia="en-US" w:bidi="ar-SA"/>
      </w:rPr>
    </w:lvl>
    <w:lvl w:ilvl="6" w:tplc="6E5AE094">
      <w:numFmt w:val="bullet"/>
      <w:lvlText w:val="•"/>
      <w:lvlJc w:val="left"/>
      <w:pPr>
        <w:ind w:left="6237" w:hanging="360"/>
      </w:pPr>
      <w:rPr>
        <w:rFonts w:hint="default"/>
        <w:lang w:eastAsia="en-US" w:bidi="ar-SA"/>
      </w:rPr>
    </w:lvl>
    <w:lvl w:ilvl="7" w:tplc="4DF4FB30">
      <w:numFmt w:val="bullet"/>
      <w:lvlText w:val="•"/>
      <w:lvlJc w:val="left"/>
      <w:pPr>
        <w:ind w:left="7200" w:hanging="360"/>
      </w:pPr>
      <w:rPr>
        <w:rFonts w:hint="default"/>
        <w:lang w:eastAsia="en-US" w:bidi="ar-SA"/>
      </w:rPr>
    </w:lvl>
    <w:lvl w:ilvl="8" w:tplc="FAECEC90">
      <w:numFmt w:val="bullet"/>
      <w:lvlText w:val="•"/>
      <w:lvlJc w:val="left"/>
      <w:pPr>
        <w:ind w:left="8163" w:hanging="360"/>
      </w:pPr>
      <w:rPr>
        <w:rFonts w:hint="default"/>
        <w:lang w:eastAsia="en-US" w:bidi="ar-SA"/>
      </w:rPr>
    </w:lvl>
  </w:abstractNum>
  <w:abstractNum w:abstractNumId="2">
    <w:nsid w:val="78A52D09"/>
    <w:multiLevelType w:val="hybridMultilevel"/>
    <w:tmpl w:val="DD0E18C0"/>
    <w:lvl w:ilvl="0" w:tplc="F00817FA">
      <w:start w:val="1"/>
      <w:numFmt w:val="decimal"/>
      <w:lvlText w:val="%1."/>
      <w:lvlJc w:val="left"/>
      <w:pPr>
        <w:ind w:left="384" w:hanging="284"/>
        <w:jc w:val="left"/>
      </w:pPr>
      <w:rPr>
        <w:rFonts w:ascii="Times New Roman" w:eastAsia="Times New Roman" w:hAnsi="Times New Roman" w:cs="Times New Roman" w:hint="default"/>
        <w:b/>
        <w:bCs/>
        <w:w w:val="100"/>
        <w:sz w:val="22"/>
        <w:szCs w:val="22"/>
        <w:lang w:eastAsia="en-US" w:bidi="ar-SA"/>
      </w:rPr>
    </w:lvl>
    <w:lvl w:ilvl="1" w:tplc="4E163A90">
      <w:numFmt w:val="bullet"/>
      <w:lvlText w:val="•"/>
      <w:lvlJc w:val="left"/>
      <w:pPr>
        <w:ind w:left="1350" w:hanging="284"/>
      </w:pPr>
      <w:rPr>
        <w:rFonts w:hint="default"/>
        <w:lang w:eastAsia="en-US" w:bidi="ar-SA"/>
      </w:rPr>
    </w:lvl>
    <w:lvl w:ilvl="2" w:tplc="01880476">
      <w:numFmt w:val="bullet"/>
      <w:lvlText w:val="•"/>
      <w:lvlJc w:val="left"/>
      <w:pPr>
        <w:ind w:left="2321" w:hanging="284"/>
      </w:pPr>
      <w:rPr>
        <w:rFonts w:hint="default"/>
        <w:lang w:eastAsia="en-US" w:bidi="ar-SA"/>
      </w:rPr>
    </w:lvl>
    <w:lvl w:ilvl="3" w:tplc="5CD24DB2">
      <w:numFmt w:val="bullet"/>
      <w:lvlText w:val="•"/>
      <w:lvlJc w:val="left"/>
      <w:pPr>
        <w:ind w:left="3292" w:hanging="284"/>
      </w:pPr>
      <w:rPr>
        <w:rFonts w:hint="default"/>
        <w:lang w:eastAsia="en-US" w:bidi="ar-SA"/>
      </w:rPr>
    </w:lvl>
    <w:lvl w:ilvl="4" w:tplc="F5B0E4FC">
      <w:numFmt w:val="bullet"/>
      <w:lvlText w:val="•"/>
      <w:lvlJc w:val="left"/>
      <w:pPr>
        <w:ind w:left="4263" w:hanging="284"/>
      </w:pPr>
      <w:rPr>
        <w:rFonts w:hint="default"/>
        <w:lang w:eastAsia="en-US" w:bidi="ar-SA"/>
      </w:rPr>
    </w:lvl>
    <w:lvl w:ilvl="5" w:tplc="161A42FA">
      <w:numFmt w:val="bullet"/>
      <w:lvlText w:val="•"/>
      <w:lvlJc w:val="left"/>
      <w:pPr>
        <w:ind w:left="5234" w:hanging="284"/>
      </w:pPr>
      <w:rPr>
        <w:rFonts w:hint="default"/>
        <w:lang w:eastAsia="en-US" w:bidi="ar-SA"/>
      </w:rPr>
    </w:lvl>
    <w:lvl w:ilvl="6" w:tplc="D1286B3E">
      <w:numFmt w:val="bullet"/>
      <w:lvlText w:val="•"/>
      <w:lvlJc w:val="left"/>
      <w:pPr>
        <w:ind w:left="6205" w:hanging="284"/>
      </w:pPr>
      <w:rPr>
        <w:rFonts w:hint="default"/>
        <w:lang w:eastAsia="en-US" w:bidi="ar-SA"/>
      </w:rPr>
    </w:lvl>
    <w:lvl w:ilvl="7" w:tplc="B41AE9C2">
      <w:numFmt w:val="bullet"/>
      <w:lvlText w:val="•"/>
      <w:lvlJc w:val="left"/>
      <w:pPr>
        <w:ind w:left="7176" w:hanging="284"/>
      </w:pPr>
      <w:rPr>
        <w:rFonts w:hint="default"/>
        <w:lang w:eastAsia="en-US" w:bidi="ar-SA"/>
      </w:rPr>
    </w:lvl>
    <w:lvl w:ilvl="8" w:tplc="6D0495CA">
      <w:numFmt w:val="bullet"/>
      <w:lvlText w:val="•"/>
      <w:lvlJc w:val="left"/>
      <w:pPr>
        <w:ind w:left="8147" w:hanging="284"/>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B105C"/>
    <w:rsid w:val="001B105C"/>
    <w:rsid w:val="009C00F3"/>
    <w:rsid w:val="00CA0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1" w:hanging="361"/>
      <w:jc w:val="both"/>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CA0C85"/>
    <w:rPr>
      <w:rFonts w:ascii="Tahoma" w:hAnsi="Tahoma" w:cs="Tahoma"/>
      <w:sz w:val="16"/>
      <w:szCs w:val="16"/>
    </w:rPr>
  </w:style>
  <w:style w:type="character" w:customStyle="1" w:styleId="BalloonTextChar">
    <w:name w:val="Balloon Text Char"/>
    <w:basedOn w:val="DefaultParagraphFont"/>
    <w:link w:val="BalloonText"/>
    <w:uiPriority w:val="99"/>
    <w:semiHidden/>
    <w:rsid w:val="00CA0C85"/>
    <w:rPr>
      <w:rFonts w:ascii="Tahoma" w:eastAsia="Times New Roman" w:hAnsi="Tahoma" w:cs="Tahoma"/>
      <w:sz w:val="16"/>
      <w:szCs w:val="16"/>
      <w:lang/>
    </w:rPr>
  </w:style>
  <w:style w:type="character" w:styleId="Hyperlink">
    <w:name w:val="Hyperlink"/>
    <w:basedOn w:val="DefaultParagraphFont"/>
    <w:uiPriority w:val="99"/>
    <w:unhideWhenUsed/>
    <w:rsid w:val="00CA0C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iwandevil1982@gmail.com%20"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3.xm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2435</Words>
  <Characters>13882</Characters>
  <Application>Microsoft Office Word</Application>
  <DocSecurity>0</DocSecurity>
  <Lines>115</Lines>
  <Paragraphs>32</Paragraphs>
  <ScaleCrop>false</ScaleCrop>
  <Company/>
  <LinksUpToDate>false</LinksUpToDate>
  <CharactersWithSpaces>16285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2023-05-26T02:46:00Z</dcterms:created>
  <dcterms:modified xsi:type="dcterms:W3CDTF">2023-05-26T09:21:00Z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2023-05-26T00:00:00Z</vt:filetime>
  </property>
</Properties>
</file>